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2"/>
        <w:tblW w:w="10207"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00" w:firstRow="0" w:lastRow="0" w:firstColumn="0" w:lastColumn="0" w:noHBand="0" w:noVBand="0"/>
      </w:tblPr>
      <w:tblGrid>
        <w:gridCol w:w="1101"/>
        <w:gridCol w:w="3118"/>
        <w:gridCol w:w="913"/>
        <w:gridCol w:w="1072"/>
        <w:gridCol w:w="4003"/>
      </w:tblGrid>
      <w:tr w:rsidR="007B33C7" w:rsidRPr="007B33C7" w:rsidTr="007B33C7">
        <w:trPr>
          <w:trHeight w:val="857"/>
        </w:trPr>
        <w:tc>
          <w:tcPr>
            <w:tcW w:w="10207" w:type="dxa"/>
            <w:gridSpan w:val="5"/>
            <w:tcBorders>
              <w:top w:val="single" w:sz="8" w:space="0" w:color="FFFFFF"/>
              <w:left w:val="single" w:sz="8" w:space="0" w:color="FFFFFF"/>
              <w:bottom w:val="single" w:sz="6" w:space="0" w:color="FFFFFF"/>
              <w:right w:val="single" w:sz="8" w:space="0" w:color="FFFFFF"/>
            </w:tcBorders>
            <w:shd w:val="clear" w:color="auto" w:fill="215868"/>
          </w:tcPr>
          <w:p w:rsidR="007B33C7" w:rsidRPr="007B33C7" w:rsidRDefault="007B33C7" w:rsidP="007B33C7">
            <w:pPr>
              <w:suppressAutoHyphens/>
              <w:spacing w:after="0" w:line="240" w:lineRule="auto"/>
              <w:ind w:firstLine="425"/>
              <w:jc w:val="center"/>
              <w:rPr>
                <w:rFonts w:cs="Arial"/>
                <w:b/>
                <w:color w:val="FFFFFF"/>
              </w:rPr>
            </w:pPr>
            <w:r w:rsidRPr="007B33C7">
              <w:rPr>
                <w:rFonts w:cs="Arial"/>
                <w:b/>
                <w:color w:val="FFFFFF"/>
              </w:rPr>
              <w:t>OCHRONA ŚRODOWISKA LUB DZIEDZICTWA PRZYRODNICZEGO NA OBSZARACH ZALEŻNYCH OD RYBACTWA W CELU UTRZYMANIA JEGO ATRAKCYJNOŚCI LUB PRZYWRÓCENIA POTENCJAŁU PRODUKCYJNEGO SEKTORA RYBACTWA, W PRZYPADKU JEGO ZNISZCZENIA W WYNIKU KLĘSKI ŻYWIOŁOWEJ (SEKTOR SPOŁECZNY I GOSPODARCZY)</w:t>
            </w:r>
          </w:p>
          <w:p w:rsidR="007B33C7" w:rsidRPr="007B33C7" w:rsidRDefault="007B33C7" w:rsidP="007B33C7">
            <w:pPr>
              <w:suppressAutoHyphens/>
              <w:spacing w:after="0" w:line="240" w:lineRule="auto"/>
              <w:ind w:firstLine="425"/>
              <w:jc w:val="center"/>
              <w:rPr>
                <w:b/>
                <w:color w:val="FFFFFF"/>
                <w:lang w:eastAsia="ar-SA"/>
              </w:rPr>
            </w:pPr>
          </w:p>
        </w:tc>
      </w:tr>
      <w:tr w:rsidR="007B33C7" w:rsidRPr="007B33C7" w:rsidTr="007B33C7">
        <w:trPr>
          <w:trHeight w:val="144"/>
        </w:trPr>
        <w:tc>
          <w:tcPr>
            <w:tcW w:w="1101" w:type="dxa"/>
            <w:tcBorders>
              <w:top w:val="single" w:sz="6" w:space="0" w:color="FFFFFF"/>
              <w:left w:val="single" w:sz="8" w:space="0" w:color="FFFFFF"/>
              <w:bottom w:val="nil"/>
              <w:right w:val="single" w:sz="8" w:space="0" w:color="FFFFFF"/>
            </w:tcBorders>
            <w:shd w:val="clear" w:color="auto" w:fill="92CDDC"/>
          </w:tcPr>
          <w:p w:rsidR="007B33C7" w:rsidRPr="007B33C7" w:rsidRDefault="007B33C7" w:rsidP="007B33C7">
            <w:pPr>
              <w:suppressAutoHyphens/>
              <w:spacing w:after="0" w:line="240" w:lineRule="auto"/>
              <w:rPr>
                <w:b/>
                <w:lang w:eastAsia="ar-SA"/>
              </w:rPr>
            </w:pPr>
            <w:proofErr w:type="spellStart"/>
            <w:r w:rsidRPr="007B33C7">
              <w:rPr>
                <w:b/>
                <w:lang w:eastAsia="ar-SA"/>
              </w:rPr>
              <w:t>Lp</w:t>
            </w:r>
            <w:proofErr w:type="spellEnd"/>
          </w:p>
        </w:tc>
        <w:tc>
          <w:tcPr>
            <w:tcW w:w="3118" w:type="dxa"/>
            <w:tcBorders>
              <w:top w:val="single" w:sz="6" w:space="0" w:color="FFFFFF"/>
            </w:tcBorders>
            <w:shd w:val="clear" w:color="auto" w:fill="92CDDC"/>
          </w:tcPr>
          <w:p w:rsidR="007B33C7" w:rsidRPr="007B33C7" w:rsidRDefault="007B33C7" w:rsidP="007B33C7">
            <w:pPr>
              <w:suppressAutoHyphens/>
              <w:spacing w:after="0" w:line="240" w:lineRule="auto"/>
              <w:ind w:firstLine="425"/>
              <w:rPr>
                <w:b/>
                <w:lang w:eastAsia="ar-SA"/>
              </w:rPr>
            </w:pPr>
            <w:r w:rsidRPr="007B33C7">
              <w:rPr>
                <w:b/>
                <w:lang w:eastAsia="ar-SA"/>
              </w:rPr>
              <w:t>Nazwa kryterium</w:t>
            </w:r>
          </w:p>
        </w:tc>
        <w:tc>
          <w:tcPr>
            <w:tcW w:w="913" w:type="dxa"/>
            <w:tcBorders>
              <w:top w:val="single" w:sz="6" w:space="0" w:color="FFFFFF"/>
              <w:left w:val="single" w:sz="8" w:space="0" w:color="FFFFFF"/>
              <w:bottom w:val="nil"/>
              <w:right w:val="single" w:sz="8" w:space="0" w:color="FFFFFF"/>
            </w:tcBorders>
            <w:shd w:val="clear" w:color="auto" w:fill="92CDDC"/>
          </w:tcPr>
          <w:p w:rsidR="007B33C7" w:rsidRPr="007B33C7" w:rsidRDefault="007B33C7" w:rsidP="007B33C7">
            <w:pPr>
              <w:suppressAutoHyphens/>
              <w:spacing w:after="0" w:line="240" w:lineRule="auto"/>
              <w:rPr>
                <w:b/>
                <w:lang w:eastAsia="ar-SA"/>
              </w:rPr>
            </w:pPr>
            <w:r w:rsidRPr="007B33C7">
              <w:rPr>
                <w:b/>
                <w:lang w:eastAsia="ar-SA"/>
              </w:rPr>
              <w:t>Waga</w:t>
            </w:r>
          </w:p>
        </w:tc>
        <w:tc>
          <w:tcPr>
            <w:tcW w:w="1072" w:type="dxa"/>
            <w:tcBorders>
              <w:top w:val="single" w:sz="6" w:space="0" w:color="FFFFFF"/>
            </w:tcBorders>
            <w:shd w:val="clear" w:color="auto" w:fill="92CDDC"/>
          </w:tcPr>
          <w:p w:rsidR="007B33C7" w:rsidRPr="007B33C7" w:rsidRDefault="007B33C7" w:rsidP="007B33C7">
            <w:pPr>
              <w:suppressAutoHyphens/>
              <w:spacing w:after="0" w:line="240" w:lineRule="auto"/>
              <w:ind w:firstLine="425"/>
              <w:rPr>
                <w:b/>
                <w:lang w:eastAsia="ar-SA"/>
              </w:rPr>
            </w:pPr>
            <w:r w:rsidRPr="007B33C7">
              <w:rPr>
                <w:b/>
                <w:lang w:eastAsia="ar-SA"/>
              </w:rPr>
              <w:t>pkt</w:t>
            </w:r>
          </w:p>
        </w:tc>
        <w:tc>
          <w:tcPr>
            <w:tcW w:w="4003" w:type="dxa"/>
            <w:tcBorders>
              <w:top w:val="single" w:sz="6" w:space="0" w:color="FFFFFF"/>
              <w:left w:val="single" w:sz="8" w:space="0" w:color="FFFFFF"/>
              <w:bottom w:val="nil"/>
              <w:right w:val="single" w:sz="8" w:space="0" w:color="FFFFFF"/>
            </w:tcBorders>
            <w:shd w:val="clear" w:color="auto" w:fill="92CDDC"/>
          </w:tcPr>
          <w:p w:rsidR="007B33C7" w:rsidRPr="007B33C7" w:rsidRDefault="007B33C7" w:rsidP="007B33C7">
            <w:pPr>
              <w:suppressAutoHyphens/>
              <w:spacing w:after="0" w:line="240" w:lineRule="auto"/>
              <w:ind w:firstLine="425"/>
              <w:rPr>
                <w:b/>
                <w:lang w:eastAsia="ar-SA"/>
              </w:rPr>
            </w:pPr>
            <w:r w:rsidRPr="007B33C7">
              <w:rPr>
                <w:b/>
                <w:lang w:eastAsia="ar-SA"/>
              </w:rPr>
              <w:t>Uwagi</w:t>
            </w:r>
          </w:p>
        </w:tc>
      </w:tr>
      <w:tr w:rsidR="007B33C7" w:rsidRPr="007B33C7" w:rsidTr="007B33C7">
        <w:trPr>
          <w:trHeight w:val="1009"/>
        </w:trPr>
        <w:tc>
          <w:tcPr>
            <w:tcW w:w="1101" w:type="dxa"/>
            <w:tcBorders>
              <w:top w:val="single" w:sz="8" w:space="0" w:color="FFFFFF"/>
              <w:left w:val="single" w:sz="8" w:space="0" w:color="FFFFFF"/>
              <w:bottom w:val="nil"/>
              <w:right w:val="single" w:sz="8" w:space="0" w:color="FFFFFF"/>
            </w:tcBorders>
            <w:shd w:val="clear" w:color="auto" w:fill="A5D5E2"/>
            <w:vAlign w:val="center"/>
          </w:tcPr>
          <w:p w:rsidR="007B33C7" w:rsidRPr="007B33C7" w:rsidRDefault="007B33C7" w:rsidP="007B33C7">
            <w:pPr>
              <w:suppressAutoHyphens/>
              <w:spacing w:after="0" w:line="240" w:lineRule="auto"/>
              <w:rPr>
                <w:b/>
                <w:lang w:eastAsia="ar-SA"/>
              </w:rPr>
            </w:pPr>
            <w:r w:rsidRPr="007B33C7">
              <w:rPr>
                <w:b/>
                <w:lang w:eastAsia="ar-SA"/>
              </w:rPr>
              <w:t>1</w:t>
            </w:r>
          </w:p>
        </w:tc>
        <w:tc>
          <w:tcPr>
            <w:tcW w:w="3118" w:type="dxa"/>
            <w:tcBorders>
              <w:top w:val="single" w:sz="8" w:space="0" w:color="FFFFFF"/>
              <w:left w:val="single" w:sz="8" w:space="0" w:color="FFFFFF"/>
              <w:bottom w:val="single" w:sz="8" w:space="0" w:color="FFFFFF"/>
              <w:right w:val="single" w:sz="8" w:space="0" w:color="FFFFFF"/>
            </w:tcBorders>
            <w:shd w:val="clear" w:color="auto" w:fill="DAEEF3"/>
            <w:vAlign w:val="center"/>
          </w:tcPr>
          <w:p w:rsidR="007B33C7" w:rsidRPr="007B33C7" w:rsidRDefault="007B33C7" w:rsidP="007B33C7">
            <w:pPr>
              <w:suppressAutoHyphens/>
              <w:spacing w:after="0" w:line="240" w:lineRule="auto"/>
              <w:rPr>
                <w:b/>
                <w:lang w:eastAsia="ar-SA"/>
              </w:rPr>
            </w:pPr>
            <w:r w:rsidRPr="007B33C7">
              <w:rPr>
                <w:b/>
                <w:lang w:eastAsia="ar-SA"/>
              </w:rPr>
              <w:t xml:space="preserve">Czy formularz wniosku został wypełniony zgodnie z instrukcją? </w:t>
            </w:r>
          </w:p>
        </w:tc>
        <w:tc>
          <w:tcPr>
            <w:tcW w:w="913" w:type="dxa"/>
            <w:tcBorders>
              <w:top w:val="single" w:sz="8" w:space="0" w:color="FFFFFF"/>
              <w:left w:val="single" w:sz="8" w:space="0" w:color="FFFFFF"/>
              <w:bottom w:val="nil"/>
              <w:right w:val="single" w:sz="8" w:space="0" w:color="FFFFFF"/>
            </w:tcBorders>
            <w:shd w:val="clear" w:color="auto" w:fill="DAEEF3"/>
            <w:vAlign w:val="center"/>
          </w:tcPr>
          <w:p w:rsidR="007B33C7" w:rsidRPr="007B33C7" w:rsidRDefault="007B33C7" w:rsidP="007B33C7">
            <w:pPr>
              <w:suppressAutoHyphens/>
              <w:spacing w:after="0" w:line="240" w:lineRule="auto"/>
              <w:ind w:firstLine="425"/>
              <w:rPr>
                <w:b/>
                <w:lang w:eastAsia="ar-SA"/>
              </w:rPr>
            </w:pPr>
            <w:r w:rsidRPr="007B33C7">
              <w:rPr>
                <w:b/>
                <w:lang w:eastAsia="ar-SA"/>
              </w:rPr>
              <w:t>2</w:t>
            </w:r>
          </w:p>
        </w:tc>
        <w:tc>
          <w:tcPr>
            <w:tcW w:w="1072" w:type="dxa"/>
            <w:tcBorders>
              <w:top w:val="single" w:sz="8" w:space="0" w:color="FFFFFF"/>
              <w:left w:val="single" w:sz="8" w:space="0" w:color="FFFFFF"/>
              <w:bottom w:val="single" w:sz="8" w:space="0" w:color="FFFFFF"/>
              <w:right w:val="single" w:sz="8" w:space="0" w:color="FFFFFF"/>
            </w:tcBorders>
            <w:shd w:val="clear" w:color="auto" w:fill="DAEEF3"/>
            <w:vAlign w:val="center"/>
          </w:tcPr>
          <w:p w:rsidR="007B33C7" w:rsidRPr="007B33C7" w:rsidRDefault="007B33C7" w:rsidP="007B33C7">
            <w:pPr>
              <w:suppressAutoHyphens/>
              <w:spacing w:after="0" w:line="240" w:lineRule="auto"/>
              <w:ind w:firstLine="425"/>
              <w:rPr>
                <w:b/>
                <w:lang w:eastAsia="ar-SA"/>
              </w:rPr>
            </w:pPr>
            <w:r w:rsidRPr="007B33C7">
              <w:rPr>
                <w:b/>
                <w:lang w:eastAsia="ar-SA"/>
              </w:rPr>
              <w:t>0-1</w:t>
            </w:r>
          </w:p>
        </w:tc>
        <w:tc>
          <w:tcPr>
            <w:tcW w:w="4003" w:type="dxa"/>
            <w:tcBorders>
              <w:top w:val="single" w:sz="8" w:space="0" w:color="FFFFFF"/>
              <w:left w:val="single" w:sz="8" w:space="0" w:color="FFFFFF"/>
              <w:bottom w:val="nil"/>
              <w:right w:val="single" w:sz="8" w:space="0" w:color="FFFFFF"/>
            </w:tcBorders>
            <w:shd w:val="clear" w:color="auto" w:fill="DAEEF3"/>
            <w:vAlign w:val="center"/>
          </w:tcPr>
          <w:p w:rsidR="007B33C7" w:rsidRPr="007B33C7" w:rsidRDefault="007B33C7" w:rsidP="007B33C7">
            <w:pPr>
              <w:suppressAutoHyphens/>
              <w:spacing w:after="0" w:line="240" w:lineRule="auto"/>
              <w:rPr>
                <w:b/>
                <w:lang w:eastAsia="ar-SA"/>
              </w:rPr>
            </w:pPr>
            <w:r w:rsidRPr="007B33C7">
              <w:rPr>
                <w:b/>
                <w:lang w:eastAsia="ar-SA"/>
              </w:rPr>
              <w:t>1 pkt. – tak</w:t>
            </w:r>
          </w:p>
          <w:p w:rsidR="007B33C7" w:rsidRPr="007B33C7" w:rsidRDefault="007B33C7" w:rsidP="007B33C7">
            <w:pPr>
              <w:suppressAutoHyphens/>
              <w:spacing w:after="0" w:line="240" w:lineRule="auto"/>
              <w:rPr>
                <w:b/>
                <w:lang w:eastAsia="ar-SA"/>
              </w:rPr>
            </w:pPr>
            <w:r w:rsidRPr="007B33C7">
              <w:rPr>
                <w:b/>
                <w:lang w:eastAsia="ar-SA"/>
              </w:rPr>
              <w:t>0 pkt. – nie</w:t>
            </w:r>
          </w:p>
        </w:tc>
      </w:tr>
      <w:tr w:rsidR="007B33C7" w:rsidRPr="007B33C7" w:rsidTr="007B33C7">
        <w:trPr>
          <w:trHeight w:val="1009"/>
        </w:trPr>
        <w:tc>
          <w:tcPr>
            <w:tcW w:w="1101" w:type="dxa"/>
            <w:tcBorders>
              <w:top w:val="single" w:sz="8" w:space="0" w:color="FFFFFF"/>
              <w:left w:val="single" w:sz="8" w:space="0" w:color="FFFFFF"/>
              <w:bottom w:val="nil"/>
              <w:right w:val="single" w:sz="8" w:space="0" w:color="FFFFFF"/>
            </w:tcBorders>
            <w:shd w:val="clear" w:color="auto" w:fill="A5D5E2"/>
            <w:vAlign w:val="center"/>
          </w:tcPr>
          <w:p w:rsidR="007B33C7" w:rsidRPr="007B33C7" w:rsidRDefault="007B33C7" w:rsidP="007B33C7">
            <w:pPr>
              <w:suppressAutoHyphens/>
              <w:spacing w:after="0" w:line="240" w:lineRule="auto"/>
              <w:rPr>
                <w:b/>
                <w:lang w:eastAsia="ar-SA"/>
              </w:rPr>
            </w:pPr>
            <w:r w:rsidRPr="007B33C7">
              <w:rPr>
                <w:b/>
                <w:lang w:eastAsia="ar-SA"/>
              </w:rPr>
              <w:t>2</w:t>
            </w:r>
          </w:p>
        </w:tc>
        <w:tc>
          <w:tcPr>
            <w:tcW w:w="3118" w:type="dxa"/>
            <w:tcBorders>
              <w:top w:val="single" w:sz="8" w:space="0" w:color="FFFFFF"/>
              <w:left w:val="single" w:sz="8" w:space="0" w:color="FFFFFF"/>
              <w:bottom w:val="single" w:sz="8" w:space="0" w:color="FFFFFF"/>
              <w:right w:val="single" w:sz="8" w:space="0" w:color="FFFFFF"/>
            </w:tcBorders>
            <w:shd w:val="clear" w:color="auto" w:fill="DAEEF3"/>
            <w:vAlign w:val="center"/>
          </w:tcPr>
          <w:p w:rsidR="007B33C7" w:rsidRPr="007B33C7" w:rsidRDefault="007B33C7" w:rsidP="007B33C7">
            <w:pPr>
              <w:suppressAutoHyphens/>
              <w:spacing w:after="0" w:line="240" w:lineRule="auto"/>
              <w:rPr>
                <w:b/>
                <w:lang w:eastAsia="ar-SA"/>
              </w:rPr>
            </w:pPr>
            <w:r w:rsidRPr="007B33C7">
              <w:rPr>
                <w:b/>
                <w:lang w:eastAsia="ar-SA"/>
              </w:rPr>
              <w:t>Czy wnioskodawca wraz z wnioskiem złożył wszystkie wymagane dokumenty?</w:t>
            </w:r>
          </w:p>
        </w:tc>
        <w:tc>
          <w:tcPr>
            <w:tcW w:w="913" w:type="dxa"/>
            <w:tcBorders>
              <w:top w:val="single" w:sz="8" w:space="0" w:color="FFFFFF"/>
              <w:left w:val="single" w:sz="8" w:space="0" w:color="FFFFFF"/>
              <w:bottom w:val="nil"/>
              <w:right w:val="single" w:sz="8" w:space="0" w:color="FFFFFF"/>
            </w:tcBorders>
            <w:shd w:val="clear" w:color="auto" w:fill="DAEEF3"/>
            <w:vAlign w:val="center"/>
          </w:tcPr>
          <w:p w:rsidR="007B33C7" w:rsidRPr="007B33C7" w:rsidRDefault="007B33C7" w:rsidP="007B33C7">
            <w:pPr>
              <w:suppressAutoHyphens/>
              <w:spacing w:after="0" w:line="240" w:lineRule="auto"/>
              <w:ind w:firstLine="425"/>
              <w:rPr>
                <w:b/>
                <w:lang w:eastAsia="ar-SA"/>
              </w:rPr>
            </w:pPr>
            <w:r w:rsidRPr="007B33C7">
              <w:rPr>
                <w:b/>
                <w:lang w:eastAsia="ar-SA"/>
              </w:rPr>
              <w:t>2</w:t>
            </w:r>
          </w:p>
        </w:tc>
        <w:tc>
          <w:tcPr>
            <w:tcW w:w="1072" w:type="dxa"/>
            <w:tcBorders>
              <w:top w:val="single" w:sz="8" w:space="0" w:color="FFFFFF"/>
              <w:left w:val="single" w:sz="8" w:space="0" w:color="FFFFFF"/>
              <w:bottom w:val="single" w:sz="8" w:space="0" w:color="FFFFFF"/>
              <w:right w:val="single" w:sz="8" w:space="0" w:color="FFFFFF"/>
            </w:tcBorders>
            <w:shd w:val="clear" w:color="auto" w:fill="DAEEF3"/>
            <w:vAlign w:val="center"/>
          </w:tcPr>
          <w:p w:rsidR="007B33C7" w:rsidRPr="007B33C7" w:rsidRDefault="007B33C7" w:rsidP="007B33C7">
            <w:pPr>
              <w:suppressAutoHyphens/>
              <w:spacing w:after="0" w:line="240" w:lineRule="auto"/>
              <w:ind w:firstLine="425"/>
              <w:rPr>
                <w:b/>
                <w:lang w:eastAsia="ar-SA"/>
              </w:rPr>
            </w:pPr>
            <w:r w:rsidRPr="007B33C7">
              <w:rPr>
                <w:b/>
                <w:lang w:eastAsia="ar-SA"/>
              </w:rPr>
              <w:t>0-1</w:t>
            </w:r>
          </w:p>
        </w:tc>
        <w:tc>
          <w:tcPr>
            <w:tcW w:w="4003" w:type="dxa"/>
            <w:tcBorders>
              <w:top w:val="single" w:sz="8" w:space="0" w:color="FFFFFF"/>
              <w:left w:val="single" w:sz="8" w:space="0" w:color="FFFFFF"/>
              <w:bottom w:val="nil"/>
              <w:right w:val="single" w:sz="8" w:space="0" w:color="FFFFFF"/>
            </w:tcBorders>
            <w:shd w:val="clear" w:color="auto" w:fill="DAEEF3"/>
            <w:vAlign w:val="center"/>
          </w:tcPr>
          <w:p w:rsidR="007B33C7" w:rsidRPr="007B33C7" w:rsidRDefault="007B33C7" w:rsidP="007B33C7">
            <w:pPr>
              <w:suppressAutoHyphens/>
              <w:spacing w:after="0" w:line="240" w:lineRule="auto"/>
              <w:rPr>
                <w:b/>
                <w:lang w:eastAsia="ar-SA"/>
              </w:rPr>
            </w:pPr>
            <w:r w:rsidRPr="007B33C7">
              <w:rPr>
                <w:b/>
                <w:lang w:eastAsia="ar-SA"/>
              </w:rPr>
              <w:t xml:space="preserve">1 pkt. – tak </w:t>
            </w:r>
          </w:p>
          <w:p w:rsidR="007B33C7" w:rsidRPr="007B33C7" w:rsidRDefault="007B33C7" w:rsidP="007B33C7">
            <w:pPr>
              <w:suppressAutoHyphens/>
              <w:spacing w:after="0" w:line="240" w:lineRule="auto"/>
              <w:rPr>
                <w:b/>
                <w:lang w:eastAsia="ar-SA"/>
              </w:rPr>
            </w:pPr>
            <w:r w:rsidRPr="007B33C7">
              <w:rPr>
                <w:b/>
                <w:lang w:eastAsia="ar-SA"/>
              </w:rPr>
              <w:t>0 pkt. – nie</w:t>
            </w:r>
          </w:p>
        </w:tc>
      </w:tr>
      <w:tr w:rsidR="007B33C7" w:rsidRPr="007B33C7" w:rsidTr="007B33C7">
        <w:trPr>
          <w:trHeight w:val="1009"/>
        </w:trPr>
        <w:tc>
          <w:tcPr>
            <w:tcW w:w="1101" w:type="dxa"/>
            <w:tcBorders>
              <w:top w:val="single" w:sz="8" w:space="0" w:color="FFFFFF"/>
              <w:left w:val="single" w:sz="8" w:space="0" w:color="FFFFFF"/>
              <w:bottom w:val="nil"/>
              <w:right w:val="single" w:sz="8" w:space="0" w:color="FFFFFF"/>
            </w:tcBorders>
            <w:shd w:val="clear" w:color="auto" w:fill="A5D5E2"/>
            <w:vAlign w:val="center"/>
          </w:tcPr>
          <w:p w:rsidR="007B33C7" w:rsidRPr="007B33C7" w:rsidRDefault="007B33C7" w:rsidP="007B33C7">
            <w:pPr>
              <w:suppressAutoHyphens/>
              <w:spacing w:after="0" w:line="240" w:lineRule="auto"/>
              <w:rPr>
                <w:b/>
                <w:lang w:eastAsia="ar-SA"/>
              </w:rPr>
            </w:pPr>
            <w:r w:rsidRPr="007B33C7">
              <w:rPr>
                <w:b/>
                <w:lang w:eastAsia="ar-SA"/>
              </w:rPr>
              <w:t>3</w:t>
            </w:r>
          </w:p>
        </w:tc>
        <w:tc>
          <w:tcPr>
            <w:tcW w:w="3118" w:type="dxa"/>
            <w:tcBorders>
              <w:top w:val="single" w:sz="8" w:space="0" w:color="FFFFFF"/>
              <w:left w:val="single" w:sz="8" w:space="0" w:color="FFFFFF"/>
              <w:bottom w:val="single" w:sz="8" w:space="0" w:color="FFFFFF"/>
              <w:right w:val="single" w:sz="8" w:space="0" w:color="FFFFFF"/>
            </w:tcBorders>
            <w:shd w:val="clear" w:color="auto" w:fill="DAEEF3"/>
            <w:vAlign w:val="center"/>
          </w:tcPr>
          <w:p w:rsidR="007B33C7" w:rsidRPr="007B33C7" w:rsidRDefault="007B33C7" w:rsidP="007B33C7">
            <w:pPr>
              <w:suppressAutoHyphens/>
              <w:spacing w:after="0" w:line="240" w:lineRule="auto"/>
              <w:rPr>
                <w:b/>
                <w:lang w:eastAsia="ar-SA"/>
              </w:rPr>
            </w:pPr>
            <w:r w:rsidRPr="007B33C7">
              <w:rPr>
                <w:b/>
                <w:lang w:eastAsia="ar-SA"/>
              </w:rPr>
              <w:t>Operacja realizowana w obrębie obszaru prawnie chronionego – w rozumieniu Ustawy o ochronie przyrody</w:t>
            </w:r>
          </w:p>
        </w:tc>
        <w:tc>
          <w:tcPr>
            <w:tcW w:w="913" w:type="dxa"/>
            <w:tcBorders>
              <w:top w:val="single" w:sz="8" w:space="0" w:color="FFFFFF"/>
              <w:left w:val="single" w:sz="8" w:space="0" w:color="FFFFFF"/>
              <w:bottom w:val="nil"/>
              <w:right w:val="single" w:sz="8" w:space="0" w:color="FFFFFF"/>
            </w:tcBorders>
            <w:shd w:val="clear" w:color="auto" w:fill="DAEEF3"/>
            <w:vAlign w:val="center"/>
          </w:tcPr>
          <w:p w:rsidR="007B33C7" w:rsidRPr="007B33C7" w:rsidRDefault="007B33C7" w:rsidP="007B33C7">
            <w:pPr>
              <w:suppressAutoHyphens/>
              <w:spacing w:after="0" w:line="240" w:lineRule="auto"/>
              <w:ind w:firstLine="425"/>
              <w:rPr>
                <w:b/>
                <w:lang w:eastAsia="ar-SA"/>
              </w:rPr>
            </w:pPr>
            <w:r w:rsidRPr="007B33C7">
              <w:rPr>
                <w:b/>
                <w:lang w:eastAsia="ar-SA"/>
              </w:rPr>
              <w:t>3</w:t>
            </w:r>
          </w:p>
        </w:tc>
        <w:tc>
          <w:tcPr>
            <w:tcW w:w="1072" w:type="dxa"/>
            <w:tcBorders>
              <w:top w:val="single" w:sz="8" w:space="0" w:color="FFFFFF"/>
              <w:left w:val="single" w:sz="8" w:space="0" w:color="FFFFFF"/>
              <w:bottom w:val="single" w:sz="8" w:space="0" w:color="FFFFFF"/>
              <w:right w:val="single" w:sz="8" w:space="0" w:color="FFFFFF"/>
            </w:tcBorders>
            <w:shd w:val="clear" w:color="auto" w:fill="DAEEF3"/>
            <w:vAlign w:val="center"/>
          </w:tcPr>
          <w:p w:rsidR="007B33C7" w:rsidRPr="007B33C7" w:rsidRDefault="007B33C7" w:rsidP="007B33C7">
            <w:pPr>
              <w:suppressAutoHyphens/>
              <w:spacing w:after="0" w:line="240" w:lineRule="auto"/>
              <w:ind w:firstLine="425"/>
              <w:rPr>
                <w:b/>
                <w:lang w:eastAsia="ar-SA"/>
              </w:rPr>
            </w:pPr>
            <w:r w:rsidRPr="007B33C7">
              <w:rPr>
                <w:b/>
                <w:lang w:eastAsia="ar-SA"/>
              </w:rPr>
              <w:t>0-3</w:t>
            </w:r>
          </w:p>
        </w:tc>
        <w:tc>
          <w:tcPr>
            <w:tcW w:w="4003" w:type="dxa"/>
            <w:tcBorders>
              <w:top w:val="single" w:sz="8" w:space="0" w:color="FFFFFF"/>
              <w:left w:val="single" w:sz="8" w:space="0" w:color="FFFFFF"/>
              <w:bottom w:val="nil"/>
              <w:right w:val="single" w:sz="8" w:space="0" w:color="FFFFFF"/>
            </w:tcBorders>
            <w:shd w:val="clear" w:color="auto" w:fill="DAEEF3"/>
            <w:vAlign w:val="center"/>
          </w:tcPr>
          <w:p w:rsidR="007B33C7" w:rsidRPr="007B33C7" w:rsidRDefault="007B33C7" w:rsidP="007B33C7">
            <w:pPr>
              <w:suppressAutoHyphens/>
              <w:spacing w:after="0" w:line="240" w:lineRule="auto"/>
              <w:rPr>
                <w:b/>
                <w:lang w:eastAsia="ar-SA"/>
              </w:rPr>
            </w:pPr>
            <w:r w:rsidRPr="007B33C7">
              <w:rPr>
                <w:b/>
                <w:lang w:eastAsia="ar-SA"/>
              </w:rPr>
              <w:t>3 pkt. – Natura 2000, Park krajobrazowy</w:t>
            </w:r>
          </w:p>
          <w:p w:rsidR="007B33C7" w:rsidRPr="007B33C7" w:rsidRDefault="007B33C7" w:rsidP="007B33C7">
            <w:pPr>
              <w:suppressAutoHyphens/>
              <w:spacing w:after="0" w:line="240" w:lineRule="auto"/>
              <w:rPr>
                <w:b/>
                <w:lang w:eastAsia="ar-SA"/>
              </w:rPr>
            </w:pPr>
            <w:r w:rsidRPr="007B33C7">
              <w:rPr>
                <w:b/>
                <w:lang w:eastAsia="ar-SA"/>
              </w:rPr>
              <w:t>2 pkt. – Obszar chronionego krajobrazu lub inne obszary chronione</w:t>
            </w:r>
          </w:p>
          <w:p w:rsidR="007B33C7" w:rsidRPr="007B33C7" w:rsidRDefault="007B33C7" w:rsidP="007B33C7">
            <w:pPr>
              <w:suppressAutoHyphens/>
              <w:spacing w:after="0" w:line="240" w:lineRule="auto"/>
              <w:rPr>
                <w:b/>
                <w:lang w:eastAsia="ar-SA"/>
              </w:rPr>
            </w:pPr>
            <w:r w:rsidRPr="007B33C7">
              <w:rPr>
                <w:b/>
                <w:lang w:eastAsia="ar-SA"/>
              </w:rPr>
              <w:t>0 pkt. – miejscowość poza obszarem chronionym</w:t>
            </w:r>
            <w:r w:rsidRPr="007B33C7">
              <w:rPr>
                <w:rFonts w:ascii="Times New Roman" w:hAnsi="Times New Roman"/>
                <w:lang w:eastAsia="ar-SA"/>
              </w:rPr>
              <w:t xml:space="preserve"> </w:t>
            </w:r>
          </w:p>
        </w:tc>
      </w:tr>
      <w:tr w:rsidR="007B33C7" w:rsidRPr="007B33C7" w:rsidTr="007B33C7">
        <w:trPr>
          <w:trHeight w:val="1009"/>
        </w:trPr>
        <w:tc>
          <w:tcPr>
            <w:tcW w:w="1101" w:type="dxa"/>
            <w:tcBorders>
              <w:top w:val="single" w:sz="8" w:space="0" w:color="FFFFFF"/>
              <w:left w:val="single" w:sz="8" w:space="0" w:color="FFFFFF"/>
              <w:bottom w:val="nil"/>
              <w:right w:val="single" w:sz="8" w:space="0" w:color="FFFFFF"/>
            </w:tcBorders>
            <w:shd w:val="clear" w:color="auto" w:fill="A5D5E2"/>
            <w:vAlign w:val="center"/>
          </w:tcPr>
          <w:p w:rsidR="007B33C7" w:rsidRPr="007B33C7" w:rsidRDefault="007B33C7" w:rsidP="007B33C7">
            <w:pPr>
              <w:suppressAutoHyphens/>
              <w:spacing w:after="0" w:line="240" w:lineRule="auto"/>
              <w:rPr>
                <w:b/>
                <w:lang w:eastAsia="ar-SA"/>
              </w:rPr>
            </w:pPr>
            <w:r w:rsidRPr="007B33C7">
              <w:rPr>
                <w:b/>
                <w:lang w:eastAsia="ar-SA"/>
              </w:rPr>
              <w:t>4</w:t>
            </w:r>
          </w:p>
        </w:tc>
        <w:tc>
          <w:tcPr>
            <w:tcW w:w="3118" w:type="dxa"/>
            <w:tcBorders>
              <w:top w:val="single" w:sz="8" w:space="0" w:color="FFFFFF"/>
              <w:left w:val="single" w:sz="8" w:space="0" w:color="FFFFFF"/>
              <w:bottom w:val="single" w:sz="8" w:space="0" w:color="FFFFFF"/>
              <w:right w:val="single" w:sz="8" w:space="0" w:color="FFFFFF"/>
            </w:tcBorders>
            <w:shd w:val="clear" w:color="auto" w:fill="DAEEF3"/>
            <w:vAlign w:val="center"/>
          </w:tcPr>
          <w:p w:rsidR="007B33C7" w:rsidRPr="007B33C7" w:rsidRDefault="007B33C7" w:rsidP="007B33C7">
            <w:pPr>
              <w:suppressAutoHyphens/>
              <w:spacing w:after="0" w:line="240" w:lineRule="auto"/>
              <w:rPr>
                <w:b/>
                <w:lang w:eastAsia="ar-SA"/>
              </w:rPr>
            </w:pPr>
            <w:r w:rsidRPr="007B33C7">
              <w:rPr>
                <w:b/>
                <w:lang w:eastAsia="ar-SA"/>
              </w:rPr>
              <w:t>Obszar oddziaływania operacji</w:t>
            </w:r>
          </w:p>
        </w:tc>
        <w:tc>
          <w:tcPr>
            <w:tcW w:w="913" w:type="dxa"/>
            <w:tcBorders>
              <w:top w:val="single" w:sz="8" w:space="0" w:color="FFFFFF"/>
              <w:left w:val="single" w:sz="8" w:space="0" w:color="FFFFFF"/>
              <w:bottom w:val="nil"/>
              <w:right w:val="single" w:sz="8" w:space="0" w:color="FFFFFF"/>
            </w:tcBorders>
            <w:shd w:val="clear" w:color="auto" w:fill="DAEEF3"/>
            <w:vAlign w:val="center"/>
          </w:tcPr>
          <w:p w:rsidR="007B33C7" w:rsidRPr="007B33C7" w:rsidRDefault="007B33C7" w:rsidP="007B33C7">
            <w:pPr>
              <w:suppressAutoHyphens/>
              <w:spacing w:after="0" w:line="240" w:lineRule="auto"/>
              <w:ind w:firstLine="425"/>
              <w:rPr>
                <w:b/>
                <w:lang w:eastAsia="ar-SA"/>
              </w:rPr>
            </w:pPr>
            <w:r w:rsidRPr="007B33C7">
              <w:rPr>
                <w:b/>
                <w:lang w:eastAsia="ar-SA"/>
              </w:rPr>
              <w:t>2</w:t>
            </w:r>
          </w:p>
        </w:tc>
        <w:tc>
          <w:tcPr>
            <w:tcW w:w="1072" w:type="dxa"/>
            <w:tcBorders>
              <w:top w:val="single" w:sz="8" w:space="0" w:color="FFFFFF"/>
              <w:left w:val="single" w:sz="8" w:space="0" w:color="FFFFFF"/>
              <w:bottom w:val="single" w:sz="8" w:space="0" w:color="FFFFFF"/>
              <w:right w:val="single" w:sz="8" w:space="0" w:color="FFFFFF"/>
            </w:tcBorders>
            <w:shd w:val="clear" w:color="auto" w:fill="DAEEF3"/>
            <w:vAlign w:val="center"/>
          </w:tcPr>
          <w:p w:rsidR="007B33C7" w:rsidRPr="007B33C7" w:rsidRDefault="007B33C7" w:rsidP="007B33C7">
            <w:pPr>
              <w:suppressAutoHyphens/>
              <w:spacing w:after="0" w:line="240" w:lineRule="auto"/>
              <w:ind w:firstLine="425"/>
              <w:rPr>
                <w:b/>
                <w:lang w:eastAsia="ar-SA"/>
              </w:rPr>
            </w:pPr>
            <w:r w:rsidRPr="007B33C7">
              <w:rPr>
                <w:b/>
                <w:lang w:eastAsia="ar-SA"/>
              </w:rPr>
              <w:t>1-3</w:t>
            </w:r>
          </w:p>
        </w:tc>
        <w:tc>
          <w:tcPr>
            <w:tcW w:w="4003" w:type="dxa"/>
            <w:tcBorders>
              <w:top w:val="single" w:sz="8" w:space="0" w:color="FFFFFF"/>
              <w:left w:val="single" w:sz="8" w:space="0" w:color="FFFFFF"/>
              <w:bottom w:val="nil"/>
              <w:right w:val="single" w:sz="8" w:space="0" w:color="FFFFFF"/>
            </w:tcBorders>
            <w:shd w:val="clear" w:color="auto" w:fill="DAEEF3"/>
            <w:vAlign w:val="center"/>
          </w:tcPr>
          <w:p w:rsidR="007B33C7" w:rsidRPr="007B33C7" w:rsidRDefault="007B33C7" w:rsidP="007B33C7">
            <w:pPr>
              <w:suppressAutoHyphens/>
              <w:spacing w:after="0" w:line="240" w:lineRule="auto"/>
              <w:rPr>
                <w:b/>
                <w:lang w:eastAsia="ar-SA"/>
              </w:rPr>
            </w:pPr>
            <w:r w:rsidRPr="007B33C7">
              <w:rPr>
                <w:b/>
                <w:lang w:eastAsia="ar-SA"/>
              </w:rPr>
              <w:t>3 pkt. – dwie i więcej gmin</w:t>
            </w:r>
          </w:p>
          <w:p w:rsidR="007B33C7" w:rsidRPr="007B33C7" w:rsidRDefault="007B33C7" w:rsidP="007B33C7">
            <w:pPr>
              <w:suppressAutoHyphens/>
              <w:spacing w:after="0" w:line="240" w:lineRule="auto"/>
              <w:rPr>
                <w:b/>
                <w:lang w:eastAsia="ar-SA"/>
              </w:rPr>
            </w:pPr>
            <w:r w:rsidRPr="007B33C7">
              <w:rPr>
                <w:b/>
                <w:lang w:eastAsia="ar-SA"/>
              </w:rPr>
              <w:t>2 pkt. – jedna gmina</w:t>
            </w:r>
          </w:p>
          <w:p w:rsidR="007B33C7" w:rsidRPr="007B33C7" w:rsidRDefault="007B33C7" w:rsidP="007B33C7">
            <w:pPr>
              <w:suppressAutoHyphens/>
              <w:spacing w:after="0" w:line="240" w:lineRule="auto"/>
              <w:rPr>
                <w:b/>
                <w:lang w:eastAsia="ar-SA"/>
              </w:rPr>
            </w:pPr>
            <w:r w:rsidRPr="007B33C7">
              <w:rPr>
                <w:b/>
                <w:lang w:eastAsia="ar-SA"/>
              </w:rPr>
              <w:t>1 pkt. – miejscowość,</w:t>
            </w:r>
          </w:p>
          <w:p w:rsidR="007B33C7" w:rsidRPr="007B33C7" w:rsidRDefault="007B33C7" w:rsidP="007B33C7">
            <w:pPr>
              <w:suppressAutoHyphens/>
              <w:spacing w:after="0" w:line="240" w:lineRule="auto"/>
              <w:rPr>
                <w:b/>
                <w:lang w:eastAsia="ar-SA"/>
              </w:rPr>
            </w:pPr>
            <w:r w:rsidRPr="007B33C7">
              <w:rPr>
                <w:b/>
                <w:lang w:eastAsia="ar-SA"/>
              </w:rPr>
              <w:t>sołectwo</w:t>
            </w:r>
          </w:p>
        </w:tc>
      </w:tr>
      <w:tr w:rsidR="007B33C7" w:rsidRPr="007B33C7" w:rsidTr="007B33C7">
        <w:trPr>
          <w:trHeight w:val="865"/>
        </w:trPr>
        <w:tc>
          <w:tcPr>
            <w:tcW w:w="1101" w:type="dxa"/>
            <w:tcBorders>
              <w:left w:val="single" w:sz="8" w:space="0" w:color="FFFFFF"/>
              <w:bottom w:val="nil"/>
              <w:right w:val="single" w:sz="8" w:space="0" w:color="FFFFFF"/>
            </w:tcBorders>
            <w:shd w:val="clear" w:color="auto" w:fill="A5D5E2"/>
            <w:vAlign w:val="center"/>
          </w:tcPr>
          <w:p w:rsidR="007B33C7" w:rsidRPr="007B33C7" w:rsidRDefault="007B33C7" w:rsidP="007B33C7">
            <w:pPr>
              <w:suppressAutoHyphens/>
              <w:spacing w:after="0" w:line="240" w:lineRule="auto"/>
              <w:rPr>
                <w:b/>
                <w:lang w:eastAsia="ar-SA"/>
              </w:rPr>
            </w:pPr>
            <w:r w:rsidRPr="007B33C7">
              <w:rPr>
                <w:b/>
                <w:lang w:eastAsia="ar-SA"/>
              </w:rPr>
              <w:t>5</w:t>
            </w:r>
          </w:p>
        </w:tc>
        <w:tc>
          <w:tcPr>
            <w:tcW w:w="3118" w:type="dxa"/>
            <w:shd w:val="clear" w:color="auto" w:fill="DAEEF3"/>
            <w:vAlign w:val="center"/>
          </w:tcPr>
          <w:p w:rsidR="007B33C7" w:rsidRPr="007B33C7" w:rsidRDefault="007B33C7" w:rsidP="007B33C7">
            <w:pPr>
              <w:suppressAutoHyphens/>
              <w:spacing w:after="0" w:line="240" w:lineRule="auto"/>
              <w:rPr>
                <w:b/>
                <w:lang w:eastAsia="ar-SA"/>
              </w:rPr>
            </w:pPr>
            <w:r w:rsidRPr="007B33C7">
              <w:rPr>
                <w:b/>
                <w:lang w:eastAsia="ar-SA"/>
              </w:rPr>
              <w:t>Realizacja operacji spowoduje utworzenie nowych miejsc pracy</w:t>
            </w:r>
          </w:p>
        </w:tc>
        <w:tc>
          <w:tcPr>
            <w:tcW w:w="913" w:type="dxa"/>
            <w:tcBorders>
              <w:left w:val="single" w:sz="8" w:space="0" w:color="FFFFFF"/>
              <w:bottom w:val="nil"/>
              <w:right w:val="single" w:sz="8" w:space="0" w:color="FFFFFF"/>
            </w:tcBorders>
            <w:shd w:val="clear" w:color="auto" w:fill="DAEEF3"/>
            <w:vAlign w:val="center"/>
          </w:tcPr>
          <w:p w:rsidR="007B33C7" w:rsidRPr="007B33C7" w:rsidRDefault="007B33C7" w:rsidP="007B33C7">
            <w:pPr>
              <w:suppressAutoHyphens/>
              <w:spacing w:after="0" w:line="240" w:lineRule="auto"/>
              <w:ind w:firstLine="425"/>
              <w:rPr>
                <w:b/>
                <w:lang w:eastAsia="ar-SA"/>
              </w:rPr>
            </w:pPr>
            <w:r w:rsidRPr="007B33C7">
              <w:rPr>
                <w:b/>
                <w:lang w:eastAsia="ar-SA"/>
              </w:rPr>
              <w:t>1</w:t>
            </w:r>
          </w:p>
        </w:tc>
        <w:tc>
          <w:tcPr>
            <w:tcW w:w="1072" w:type="dxa"/>
            <w:shd w:val="clear" w:color="auto" w:fill="DAEEF3"/>
            <w:vAlign w:val="center"/>
          </w:tcPr>
          <w:p w:rsidR="007B33C7" w:rsidRPr="007B33C7" w:rsidRDefault="007B33C7" w:rsidP="007B33C7">
            <w:pPr>
              <w:suppressAutoHyphens/>
              <w:spacing w:after="0" w:line="240" w:lineRule="auto"/>
              <w:ind w:firstLine="425"/>
              <w:rPr>
                <w:b/>
                <w:lang w:eastAsia="ar-SA"/>
              </w:rPr>
            </w:pPr>
            <w:r w:rsidRPr="007B33C7">
              <w:rPr>
                <w:b/>
                <w:lang w:eastAsia="ar-SA"/>
              </w:rPr>
              <w:t>0-1</w:t>
            </w:r>
          </w:p>
        </w:tc>
        <w:tc>
          <w:tcPr>
            <w:tcW w:w="4003" w:type="dxa"/>
            <w:tcBorders>
              <w:left w:val="single" w:sz="8" w:space="0" w:color="FFFFFF"/>
              <w:bottom w:val="nil"/>
              <w:right w:val="single" w:sz="8" w:space="0" w:color="FFFFFF"/>
            </w:tcBorders>
            <w:shd w:val="clear" w:color="auto" w:fill="DAEEF3"/>
            <w:vAlign w:val="center"/>
          </w:tcPr>
          <w:p w:rsidR="007B33C7" w:rsidRPr="007B33C7" w:rsidRDefault="007B33C7" w:rsidP="007B33C7">
            <w:pPr>
              <w:suppressAutoHyphens/>
              <w:spacing w:after="0" w:line="240" w:lineRule="auto"/>
              <w:rPr>
                <w:b/>
                <w:lang w:eastAsia="ar-SA"/>
              </w:rPr>
            </w:pPr>
            <w:r w:rsidRPr="007B33C7">
              <w:rPr>
                <w:b/>
                <w:lang w:eastAsia="ar-SA"/>
              </w:rPr>
              <w:t>1 pkt. – tak</w:t>
            </w:r>
          </w:p>
          <w:p w:rsidR="007B33C7" w:rsidRPr="007B33C7" w:rsidRDefault="007B33C7" w:rsidP="007B33C7">
            <w:pPr>
              <w:suppressAutoHyphens/>
              <w:spacing w:after="0" w:line="240" w:lineRule="auto"/>
              <w:rPr>
                <w:b/>
                <w:lang w:eastAsia="ar-SA"/>
              </w:rPr>
            </w:pPr>
            <w:r w:rsidRPr="007B33C7">
              <w:rPr>
                <w:b/>
                <w:lang w:eastAsia="ar-SA"/>
              </w:rPr>
              <w:t>0 pkt. – nie</w:t>
            </w:r>
          </w:p>
        </w:tc>
      </w:tr>
      <w:tr w:rsidR="007B33C7" w:rsidRPr="007B33C7" w:rsidTr="007B33C7">
        <w:trPr>
          <w:trHeight w:val="865"/>
        </w:trPr>
        <w:tc>
          <w:tcPr>
            <w:tcW w:w="1101" w:type="dxa"/>
            <w:tcBorders>
              <w:left w:val="single" w:sz="8" w:space="0" w:color="FFFFFF"/>
              <w:bottom w:val="nil"/>
              <w:right w:val="single" w:sz="8" w:space="0" w:color="FFFFFF"/>
            </w:tcBorders>
            <w:shd w:val="clear" w:color="auto" w:fill="A5D5E2"/>
            <w:vAlign w:val="center"/>
          </w:tcPr>
          <w:p w:rsidR="007B33C7" w:rsidRPr="007B33C7" w:rsidRDefault="007B33C7" w:rsidP="007B33C7">
            <w:pPr>
              <w:suppressAutoHyphens/>
              <w:spacing w:after="0" w:line="240" w:lineRule="auto"/>
              <w:rPr>
                <w:b/>
                <w:lang w:eastAsia="ar-SA"/>
              </w:rPr>
            </w:pPr>
            <w:r w:rsidRPr="007B33C7">
              <w:rPr>
                <w:b/>
                <w:lang w:eastAsia="ar-SA"/>
              </w:rPr>
              <w:t>6</w:t>
            </w:r>
          </w:p>
        </w:tc>
        <w:tc>
          <w:tcPr>
            <w:tcW w:w="3118" w:type="dxa"/>
            <w:shd w:val="clear" w:color="auto" w:fill="DAEEF3"/>
            <w:vAlign w:val="center"/>
          </w:tcPr>
          <w:p w:rsidR="007B33C7" w:rsidRPr="007B33C7" w:rsidRDefault="007B33C7" w:rsidP="007B33C7">
            <w:pPr>
              <w:suppressAutoHyphens/>
              <w:spacing w:after="0" w:line="240" w:lineRule="auto"/>
              <w:rPr>
                <w:b/>
                <w:lang w:eastAsia="ar-SA"/>
              </w:rPr>
            </w:pPr>
            <w:r w:rsidRPr="007B33C7">
              <w:rPr>
                <w:b/>
                <w:lang w:eastAsia="ar-SA"/>
              </w:rPr>
              <w:t>Czy na dzień złożenia wniosku wnioskodawca był członkiem stowarzyszenia DLGR?</w:t>
            </w:r>
          </w:p>
        </w:tc>
        <w:tc>
          <w:tcPr>
            <w:tcW w:w="913" w:type="dxa"/>
            <w:tcBorders>
              <w:left w:val="single" w:sz="8" w:space="0" w:color="FFFFFF"/>
              <w:bottom w:val="nil"/>
              <w:right w:val="single" w:sz="8" w:space="0" w:color="FFFFFF"/>
            </w:tcBorders>
            <w:shd w:val="clear" w:color="auto" w:fill="DAEEF3"/>
            <w:vAlign w:val="center"/>
          </w:tcPr>
          <w:p w:rsidR="007B33C7" w:rsidRPr="007B33C7" w:rsidRDefault="007B33C7" w:rsidP="007B33C7">
            <w:pPr>
              <w:suppressAutoHyphens/>
              <w:spacing w:after="0" w:line="240" w:lineRule="auto"/>
              <w:ind w:firstLine="425"/>
              <w:rPr>
                <w:b/>
                <w:lang w:eastAsia="ar-SA"/>
              </w:rPr>
            </w:pPr>
            <w:r w:rsidRPr="007B33C7">
              <w:rPr>
                <w:b/>
                <w:lang w:eastAsia="ar-SA"/>
              </w:rPr>
              <w:t>2</w:t>
            </w:r>
          </w:p>
        </w:tc>
        <w:tc>
          <w:tcPr>
            <w:tcW w:w="1072" w:type="dxa"/>
            <w:shd w:val="clear" w:color="auto" w:fill="DAEEF3"/>
            <w:vAlign w:val="center"/>
          </w:tcPr>
          <w:p w:rsidR="007B33C7" w:rsidRPr="007B33C7" w:rsidRDefault="007B33C7" w:rsidP="007B33C7">
            <w:pPr>
              <w:suppressAutoHyphens/>
              <w:spacing w:after="0" w:line="240" w:lineRule="auto"/>
              <w:ind w:firstLine="425"/>
              <w:rPr>
                <w:b/>
                <w:lang w:eastAsia="ar-SA"/>
              </w:rPr>
            </w:pPr>
            <w:r w:rsidRPr="007B33C7">
              <w:rPr>
                <w:b/>
                <w:lang w:eastAsia="ar-SA"/>
              </w:rPr>
              <w:t>0-3</w:t>
            </w:r>
          </w:p>
        </w:tc>
        <w:tc>
          <w:tcPr>
            <w:tcW w:w="4003" w:type="dxa"/>
            <w:tcBorders>
              <w:left w:val="single" w:sz="8" w:space="0" w:color="FFFFFF"/>
              <w:bottom w:val="nil"/>
              <w:right w:val="single" w:sz="8" w:space="0" w:color="FFFFFF"/>
            </w:tcBorders>
            <w:shd w:val="clear" w:color="auto" w:fill="DAEEF3"/>
            <w:vAlign w:val="center"/>
          </w:tcPr>
          <w:p w:rsidR="007B33C7" w:rsidRPr="007B33C7" w:rsidRDefault="007B33C7" w:rsidP="007B33C7">
            <w:pPr>
              <w:suppressAutoHyphens/>
              <w:spacing w:after="0" w:line="240" w:lineRule="auto"/>
              <w:rPr>
                <w:b/>
                <w:lang w:eastAsia="ar-SA"/>
              </w:rPr>
            </w:pPr>
            <w:r w:rsidRPr="007B33C7">
              <w:rPr>
                <w:b/>
                <w:lang w:eastAsia="ar-SA"/>
              </w:rPr>
              <w:t>3 – tak, od 2009 r.</w:t>
            </w:r>
          </w:p>
          <w:p w:rsidR="007B33C7" w:rsidRPr="007B33C7" w:rsidRDefault="007B33C7" w:rsidP="007B33C7">
            <w:pPr>
              <w:suppressAutoHyphens/>
              <w:spacing w:after="0" w:line="240" w:lineRule="auto"/>
              <w:rPr>
                <w:b/>
                <w:lang w:eastAsia="ar-SA"/>
              </w:rPr>
            </w:pPr>
            <w:r w:rsidRPr="007B33C7">
              <w:rPr>
                <w:b/>
                <w:lang w:eastAsia="ar-SA"/>
              </w:rPr>
              <w:t>2 – tak – od 2010 r.</w:t>
            </w:r>
          </w:p>
          <w:p w:rsidR="007B33C7" w:rsidRPr="007B33C7" w:rsidRDefault="007B33C7" w:rsidP="007B33C7">
            <w:pPr>
              <w:suppressAutoHyphens/>
              <w:spacing w:after="0" w:line="240" w:lineRule="auto"/>
              <w:rPr>
                <w:b/>
                <w:lang w:eastAsia="ar-SA"/>
              </w:rPr>
            </w:pPr>
            <w:r w:rsidRPr="007B33C7">
              <w:rPr>
                <w:b/>
                <w:lang w:eastAsia="ar-SA"/>
              </w:rPr>
              <w:t>1 – tak – od 2011 lub później</w:t>
            </w:r>
          </w:p>
          <w:p w:rsidR="007B33C7" w:rsidRPr="007B33C7" w:rsidRDefault="007B33C7" w:rsidP="007B33C7">
            <w:pPr>
              <w:suppressAutoHyphens/>
              <w:spacing w:after="0" w:line="240" w:lineRule="auto"/>
              <w:rPr>
                <w:b/>
                <w:lang w:eastAsia="ar-SA"/>
              </w:rPr>
            </w:pPr>
            <w:r w:rsidRPr="007B33C7">
              <w:rPr>
                <w:b/>
                <w:lang w:eastAsia="ar-SA"/>
              </w:rPr>
              <w:t>0 - nie</w:t>
            </w:r>
          </w:p>
        </w:tc>
      </w:tr>
      <w:tr w:rsidR="007B33C7" w:rsidRPr="007B33C7" w:rsidTr="007B33C7">
        <w:trPr>
          <w:trHeight w:val="865"/>
        </w:trPr>
        <w:tc>
          <w:tcPr>
            <w:tcW w:w="1101" w:type="dxa"/>
            <w:tcBorders>
              <w:left w:val="single" w:sz="8" w:space="0" w:color="FFFFFF"/>
              <w:bottom w:val="nil"/>
              <w:right w:val="single" w:sz="8" w:space="0" w:color="FFFFFF"/>
            </w:tcBorders>
            <w:shd w:val="clear" w:color="auto" w:fill="A5D5E2"/>
            <w:vAlign w:val="center"/>
          </w:tcPr>
          <w:p w:rsidR="007B33C7" w:rsidRPr="007B33C7" w:rsidRDefault="007B33C7" w:rsidP="007B33C7">
            <w:pPr>
              <w:suppressAutoHyphens/>
              <w:spacing w:after="0" w:line="240" w:lineRule="auto"/>
              <w:rPr>
                <w:b/>
                <w:lang w:eastAsia="ar-SA"/>
              </w:rPr>
            </w:pPr>
            <w:r w:rsidRPr="007B33C7">
              <w:rPr>
                <w:b/>
                <w:lang w:eastAsia="ar-SA"/>
              </w:rPr>
              <w:t>7</w:t>
            </w:r>
          </w:p>
        </w:tc>
        <w:tc>
          <w:tcPr>
            <w:tcW w:w="3118" w:type="dxa"/>
            <w:shd w:val="clear" w:color="auto" w:fill="DAEEF3"/>
            <w:vAlign w:val="center"/>
          </w:tcPr>
          <w:p w:rsidR="007B33C7" w:rsidRPr="007B33C7" w:rsidRDefault="007B33C7" w:rsidP="007B33C7">
            <w:pPr>
              <w:suppressAutoHyphens/>
              <w:spacing w:after="0" w:line="240" w:lineRule="auto"/>
              <w:rPr>
                <w:b/>
                <w:lang w:eastAsia="ar-SA"/>
              </w:rPr>
            </w:pPr>
            <w:r w:rsidRPr="007B33C7">
              <w:rPr>
                <w:b/>
                <w:lang w:eastAsia="ar-SA"/>
              </w:rPr>
              <w:t>Trwałość rezultatów operacji</w:t>
            </w:r>
          </w:p>
        </w:tc>
        <w:tc>
          <w:tcPr>
            <w:tcW w:w="913" w:type="dxa"/>
            <w:tcBorders>
              <w:left w:val="single" w:sz="8" w:space="0" w:color="FFFFFF"/>
              <w:bottom w:val="nil"/>
              <w:right w:val="single" w:sz="8" w:space="0" w:color="FFFFFF"/>
            </w:tcBorders>
            <w:shd w:val="clear" w:color="auto" w:fill="DAEEF3"/>
            <w:vAlign w:val="center"/>
          </w:tcPr>
          <w:p w:rsidR="007B33C7" w:rsidRPr="007B33C7" w:rsidRDefault="007B33C7" w:rsidP="007B33C7">
            <w:pPr>
              <w:suppressAutoHyphens/>
              <w:spacing w:after="0" w:line="240" w:lineRule="auto"/>
              <w:ind w:firstLine="425"/>
              <w:rPr>
                <w:b/>
                <w:lang w:eastAsia="ar-SA"/>
              </w:rPr>
            </w:pPr>
            <w:r w:rsidRPr="007B33C7">
              <w:rPr>
                <w:b/>
                <w:lang w:eastAsia="ar-SA"/>
              </w:rPr>
              <w:t>1</w:t>
            </w:r>
          </w:p>
        </w:tc>
        <w:tc>
          <w:tcPr>
            <w:tcW w:w="1072" w:type="dxa"/>
            <w:shd w:val="clear" w:color="auto" w:fill="DAEEF3"/>
            <w:vAlign w:val="center"/>
          </w:tcPr>
          <w:p w:rsidR="007B33C7" w:rsidRPr="007B33C7" w:rsidRDefault="007B33C7" w:rsidP="007B33C7">
            <w:pPr>
              <w:suppressAutoHyphens/>
              <w:spacing w:after="0" w:line="240" w:lineRule="auto"/>
              <w:ind w:firstLine="425"/>
              <w:rPr>
                <w:b/>
                <w:lang w:eastAsia="ar-SA"/>
              </w:rPr>
            </w:pPr>
            <w:r w:rsidRPr="007B33C7">
              <w:rPr>
                <w:b/>
                <w:lang w:eastAsia="ar-SA"/>
              </w:rPr>
              <w:t>0-1</w:t>
            </w:r>
          </w:p>
        </w:tc>
        <w:tc>
          <w:tcPr>
            <w:tcW w:w="4003" w:type="dxa"/>
            <w:tcBorders>
              <w:left w:val="single" w:sz="8" w:space="0" w:color="FFFFFF"/>
              <w:bottom w:val="nil"/>
              <w:right w:val="single" w:sz="8" w:space="0" w:color="FFFFFF"/>
            </w:tcBorders>
            <w:shd w:val="clear" w:color="auto" w:fill="DAEEF3"/>
            <w:vAlign w:val="center"/>
          </w:tcPr>
          <w:p w:rsidR="007B33C7" w:rsidRPr="007B33C7" w:rsidRDefault="007B33C7" w:rsidP="007B33C7">
            <w:pPr>
              <w:suppressAutoHyphens/>
              <w:spacing w:after="0" w:line="240" w:lineRule="auto"/>
              <w:rPr>
                <w:b/>
                <w:lang w:eastAsia="ar-SA"/>
              </w:rPr>
            </w:pPr>
            <w:r w:rsidRPr="007B33C7">
              <w:rPr>
                <w:b/>
                <w:lang w:eastAsia="ar-SA"/>
              </w:rPr>
              <w:t>1 pkt. – trwałość 5 lat i dłużej</w:t>
            </w:r>
          </w:p>
          <w:p w:rsidR="007B33C7" w:rsidRPr="007B33C7" w:rsidRDefault="007B33C7" w:rsidP="007B33C7">
            <w:pPr>
              <w:suppressAutoHyphens/>
              <w:spacing w:after="0" w:line="240" w:lineRule="auto"/>
              <w:rPr>
                <w:b/>
                <w:lang w:eastAsia="ar-SA"/>
              </w:rPr>
            </w:pPr>
            <w:r w:rsidRPr="007B33C7">
              <w:rPr>
                <w:b/>
                <w:lang w:eastAsia="ar-SA"/>
              </w:rPr>
              <w:t>0 pkt. – trwałość do 5 lat</w:t>
            </w:r>
          </w:p>
        </w:tc>
      </w:tr>
      <w:tr w:rsidR="007B33C7" w:rsidRPr="007B33C7" w:rsidTr="007B33C7">
        <w:trPr>
          <w:trHeight w:val="577"/>
        </w:trPr>
        <w:tc>
          <w:tcPr>
            <w:tcW w:w="1101" w:type="dxa"/>
            <w:tcBorders>
              <w:top w:val="single" w:sz="8" w:space="0" w:color="FFFFFF"/>
              <w:left w:val="single" w:sz="8" w:space="0" w:color="FFFFFF"/>
              <w:bottom w:val="nil"/>
              <w:right w:val="single" w:sz="8" w:space="0" w:color="FFFFFF"/>
            </w:tcBorders>
            <w:shd w:val="clear" w:color="auto" w:fill="A5D5E2"/>
            <w:vAlign w:val="center"/>
          </w:tcPr>
          <w:p w:rsidR="007B33C7" w:rsidRPr="007B33C7" w:rsidRDefault="007B33C7" w:rsidP="007B33C7">
            <w:pPr>
              <w:suppressAutoHyphens/>
              <w:spacing w:after="0" w:line="240" w:lineRule="auto"/>
              <w:rPr>
                <w:b/>
                <w:lang w:eastAsia="ar-SA"/>
              </w:rPr>
            </w:pPr>
            <w:r w:rsidRPr="007B33C7">
              <w:rPr>
                <w:b/>
                <w:lang w:eastAsia="ar-SA"/>
              </w:rPr>
              <w:t>8</w:t>
            </w:r>
          </w:p>
        </w:tc>
        <w:tc>
          <w:tcPr>
            <w:tcW w:w="3118" w:type="dxa"/>
            <w:tcBorders>
              <w:top w:val="single" w:sz="8" w:space="0" w:color="FFFFFF"/>
              <w:left w:val="single" w:sz="8" w:space="0" w:color="FFFFFF"/>
              <w:bottom w:val="single" w:sz="8" w:space="0" w:color="FFFFFF"/>
              <w:right w:val="single" w:sz="8" w:space="0" w:color="FFFFFF"/>
            </w:tcBorders>
            <w:shd w:val="clear" w:color="auto" w:fill="DAEEF3"/>
            <w:vAlign w:val="center"/>
          </w:tcPr>
          <w:p w:rsidR="007B33C7" w:rsidRPr="007B33C7" w:rsidRDefault="007B33C7" w:rsidP="007B33C7">
            <w:pPr>
              <w:suppressAutoHyphens/>
              <w:spacing w:after="0" w:line="240" w:lineRule="auto"/>
              <w:rPr>
                <w:b/>
                <w:lang w:eastAsia="ar-SA"/>
              </w:rPr>
            </w:pPr>
            <w:r w:rsidRPr="007B33C7">
              <w:rPr>
                <w:b/>
                <w:lang w:eastAsia="ar-SA"/>
              </w:rPr>
              <w:t>Operacja ma charakter innowacyjny</w:t>
            </w:r>
          </w:p>
        </w:tc>
        <w:tc>
          <w:tcPr>
            <w:tcW w:w="913" w:type="dxa"/>
            <w:tcBorders>
              <w:top w:val="single" w:sz="8" w:space="0" w:color="FFFFFF"/>
              <w:left w:val="single" w:sz="8" w:space="0" w:color="FFFFFF"/>
              <w:bottom w:val="nil"/>
              <w:right w:val="single" w:sz="8" w:space="0" w:color="FFFFFF"/>
            </w:tcBorders>
            <w:shd w:val="clear" w:color="auto" w:fill="DAEEF3"/>
            <w:vAlign w:val="center"/>
          </w:tcPr>
          <w:p w:rsidR="007B33C7" w:rsidRPr="007B33C7" w:rsidRDefault="007B33C7" w:rsidP="007B33C7">
            <w:pPr>
              <w:suppressAutoHyphens/>
              <w:spacing w:after="0" w:line="240" w:lineRule="auto"/>
              <w:ind w:firstLine="425"/>
              <w:rPr>
                <w:b/>
                <w:lang w:eastAsia="ar-SA"/>
              </w:rPr>
            </w:pPr>
            <w:r w:rsidRPr="007B33C7">
              <w:rPr>
                <w:b/>
                <w:lang w:eastAsia="ar-SA"/>
              </w:rPr>
              <w:t>1</w:t>
            </w:r>
          </w:p>
        </w:tc>
        <w:tc>
          <w:tcPr>
            <w:tcW w:w="1072" w:type="dxa"/>
            <w:tcBorders>
              <w:top w:val="single" w:sz="8" w:space="0" w:color="FFFFFF"/>
              <w:left w:val="single" w:sz="8" w:space="0" w:color="FFFFFF"/>
              <w:bottom w:val="single" w:sz="8" w:space="0" w:color="FFFFFF"/>
              <w:right w:val="single" w:sz="8" w:space="0" w:color="FFFFFF"/>
            </w:tcBorders>
            <w:shd w:val="clear" w:color="auto" w:fill="DAEEF3"/>
            <w:vAlign w:val="center"/>
          </w:tcPr>
          <w:p w:rsidR="007B33C7" w:rsidRPr="007B33C7" w:rsidRDefault="007B33C7" w:rsidP="007B33C7">
            <w:pPr>
              <w:suppressAutoHyphens/>
              <w:spacing w:after="0" w:line="240" w:lineRule="auto"/>
              <w:ind w:firstLine="425"/>
              <w:rPr>
                <w:b/>
                <w:lang w:eastAsia="ar-SA"/>
              </w:rPr>
            </w:pPr>
            <w:r w:rsidRPr="007B33C7">
              <w:rPr>
                <w:b/>
                <w:lang w:eastAsia="ar-SA"/>
              </w:rPr>
              <w:t>0-1</w:t>
            </w:r>
          </w:p>
        </w:tc>
        <w:tc>
          <w:tcPr>
            <w:tcW w:w="4003" w:type="dxa"/>
            <w:tcBorders>
              <w:top w:val="single" w:sz="8" w:space="0" w:color="FFFFFF"/>
              <w:left w:val="single" w:sz="8" w:space="0" w:color="FFFFFF"/>
              <w:bottom w:val="nil"/>
              <w:right w:val="single" w:sz="8" w:space="0" w:color="FFFFFF"/>
            </w:tcBorders>
            <w:shd w:val="clear" w:color="auto" w:fill="DAEEF3"/>
            <w:vAlign w:val="center"/>
          </w:tcPr>
          <w:p w:rsidR="007B33C7" w:rsidRPr="007B33C7" w:rsidRDefault="007B33C7" w:rsidP="007B33C7">
            <w:pPr>
              <w:suppressAutoHyphens/>
              <w:spacing w:after="0" w:line="240" w:lineRule="auto"/>
              <w:rPr>
                <w:b/>
                <w:lang w:eastAsia="ar-SA"/>
              </w:rPr>
            </w:pPr>
            <w:r w:rsidRPr="007B33C7">
              <w:rPr>
                <w:b/>
                <w:lang w:eastAsia="ar-SA"/>
              </w:rPr>
              <w:t>1 pkt. – tak</w:t>
            </w:r>
          </w:p>
          <w:p w:rsidR="007B33C7" w:rsidRPr="007B33C7" w:rsidRDefault="007B33C7" w:rsidP="007B33C7">
            <w:pPr>
              <w:suppressAutoHyphens/>
              <w:spacing w:after="0" w:line="240" w:lineRule="auto"/>
              <w:rPr>
                <w:b/>
                <w:lang w:eastAsia="ar-SA"/>
              </w:rPr>
            </w:pPr>
            <w:r w:rsidRPr="007B33C7">
              <w:rPr>
                <w:b/>
                <w:lang w:eastAsia="ar-SA"/>
              </w:rPr>
              <w:t>0 pkt. – nie</w:t>
            </w:r>
          </w:p>
        </w:tc>
      </w:tr>
      <w:tr w:rsidR="007B33C7" w:rsidRPr="007B33C7" w:rsidTr="007B33C7">
        <w:trPr>
          <w:trHeight w:val="1146"/>
        </w:trPr>
        <w:tc>
          <w:tcPr>
            <w:tcW w:w="1101" w:type="dxa"/>
            <w:tcBorders>
              <w:top w:val="single" w:sz="8" w:space="0" w:color="FFFFFF"/>
              <w:left w:val="single" w:sz="8" w:space="0" w:color="FFFFFF"/>
              <w:bottom w:val="nil"/>
              <w:right w:val="single" w:sz="8" w:space="0" w:color="FFFFFF"/>
            </w:tcBorders>
            <w:shd w:val="clear" w:color="auto" w:fill="A5D5E2"/>
            <w:vAlign w:val="center"/>
          </w:tcPr>
          <w:p w:rsidR="007B33C7" w:rsidRPr="007B33C7" w:rsidRDefault="007B33C7" w:rsidP="007B33C7">
            <w:pPr>
              <w:suppressAutoHyphens/>
              <w:spacing w:after="0" w:line="240" w:lineRule="auto"/>
              <w:rPr>
                <w:b/>
                <w:lang w:eastAsia="ar-SA"/>
              </w:rPr>
            </w:pPr>
            <w:r w:rsidRPr="007B33C7">
              <w:rPr>
                <w:b/>
                <w:lang w:eastAsia="ar-SA"/>
              </w:rPr>
              <w:t>9</w:t>
            </w:r>
          </w:p>
        </w:tc>
        <w:tc>
          <w:tcPr>
            <w:tcW w:w="3118" w:type="dxa"/>
            <w:tcBorders>
              <w:top w:val="single" w:sz="8" w:space="0" w:color="FFFFFF"/>
              <w:left w:val="single" w:sz="8" w:space="0" w:color="FFFFFF"/>
              <w:bottom w:val="single" w:sz="8" w:space="0" w:color="FFFFFF"/>
              <w:right w:val="single" w:sz="8" w:space="0" w:color="FFFFFF"/>
            </w:tcBorders>
            <w:shd w:val="clear" w:color="auto" w:fill="DAEEF3"/>
            <w:vAlign w:val="center"/>
          </w:tcPr>
          <w:p w:rsidR="007B33C7" w:rsidRPr="007B33C7" w:rsidRDefault="007B33C7" w:rsidP="007B33C7">
            <w:pPr>
              <w:suppressAutoHyphens/>
              <w:spacing w:after="0" w:line="240" w:lineRule="auto"/>
              <w:rPr>
                <w:b/>
                <w:lang w:eastAsia="ar-SA"/>
              </w:rPr>
            </w:pPr>
            <w:r w:rsidRPr="007B33C7">
              <w:rPr>
                <w:b/>
                <w:lang w:eastAsia="ar-SA"/>
              </w:rPr>
              <w:t>Wnioskodawca posiada udokumentowane doświadczenie w sektorze rybackim</w:t>
            </w:r>
          </w:p>
        </w:tc>
        <w:tc>
          <w:tcPr>
            <w:tcW w:w="913" w:type="dxa"/>
            <w:tcBorders>
              <w:top w:val="single" w:sz="8" w:space="0" w:color="FFFFFF"/>
              <w:left w:val="single" w:sz="8" w:space="0" w:color="FFFFFF"/>
              <w:bottom w:val="nil"/>
              <w:right w:val="single" w:sz="8" w:space="0" w:color="FFFFFF"/>
            </w:tcBorders>
            <w:shd w:val="clear" w:color="auto" w:fill="DAEEF3"/>
            <w:vAlign w:val="center"/>
          </w:tcPr>
          <w:p w:rsidR="007B33C7" w:rsidRPr="007B33C7" w:rsidRDefault="007B33C7" w:rsidP="007B33C7">
            <w:pPr>
              <w:suppressAutoHyphens/>
              <w:spacing w:after="0" w:line="240" w:lineRule="auto"/>
              <w:ind w:firstLine="425"/>
              <w:rPr>
                <w:b/>
                <w:lang w:eastAsia="ar-SA"/>
              </w:rPr>
            </w:pPr>
            <w:r w:rsidRPr="007B33C7">
              <w:rPr>
                <w:b/>
                <w:lang w:eastAsia="ar-SA"/>
              </w:rPr>
              <w:t>2</w:t>
            </w:r>
          </w:p>
        </w:tc>
        <w:tc>
          <w:tcPr>
            <w:tcW w:w="1072" w:type="dxa"/>
            <w:tcBorders>
              <w:top w:val="single" w:sz="8" w:space="0" w:color="FFFFFF"/>
              <w:left w:val="single" w:sz="8" w:space="0" w:color="FFFFFF"/>
              <w:bottom w:val="single" w:sz="8" w:space="0" w:color="FFFFFF"/>
              <w:right w:val="single" w:sz="8" w:space="0" w:color="FFFFFF"/>
            </w:tcBorders>
            <w:shd w:val="clear" w:color="auto" w:fill="DAEEF3"/>
            <w:vAlign w:val="center"/>
          </w:tcPr>
          <w:p w:rsidR="007B33C7" w:rsidRPr="007B33C7" w:rsidRDefault="007B33C7" w:rsidP="007B33C7">
            <w:pPr>
              <w:suppressAutoHyphens/>
              <w:spacing w:after="0" w:line="240" w:lineRule="auto"/>
              <w:ind w:firstLine="425"/>
              <w:rPr>
                <w:b/>
                <w:lang w:eastAsia="ar-SA"/>
              </w:rPr>
            </w:pPr>
            <w:r w:rsidRPr="007B33C7">
              <w:rPr>
                <w:b/>
                <w:lang w:eastAsia="ar-SA"/>
              </w:rPr>
              <w:t>0-3</w:t>
            </w:r>
          </w:p>
        </w:tc>
        <w:tc>
          <w:tcPr>
            <w:tcW w:w="4003" w:type="dxa"/>
            <w:tcBorders>
              <w:top w:val="single" w:sz="8" w:space="0" w:color="FFFFFF"/>
              <w:left w:val="single" w:sz="8" w:space="0" w:color="FFFFFF"/>
              <w:bottom w:val="nil"/>
              <w:right w:val="single" w:sz="8" w:space="0" w:color="FFFFFF"/>
            </w:tcBorders>
            <w:shd w:val="clear" w:color="auto" w:fill="DAEEF3"/>
            <w:vAlign w:val="center"/>
          </w:tcPr>
          <w:p w:rsidR="007B33C7" w:rsidRPr="007B33C7" w:rsidRDefault="007B33C7" w:rsidP="007B33C7">
            <w:pPr>
              <w:suppressAutoHyphens/>
              <w:spacing w:after="0" w:line="240" w:lineRule="auto"/>
              <w:rPr>
                <w:b/>
                <w:lang w:eastAsia="ar-SA"/>
              </w:rPr>
            </w:pPr>
            <w:r w:rsidRPr="007B33C7">
              <w:rPr>
                <w:b/>
                <w:lang w:eastAsia="ar-SA"/>
              </w:rPr>
              <w:t xml:space="preserve">3 pkt. -     </w:t>
            </w:r>
            <w:r w:rsidRPr="007B33C7">
              <w:rPr>
                <w:rFonts w:cs="Calibri"/>
                <w:b/>
                <w:lang w:eastAsia="ar-SA"/>
              </w:rPr>
              <w:t>≥</w:t>
            </w:r>
            <w:r w:rsidRPr="007B33C7">
              <w:rPr>
                <w:b/>
                <w:lang w:eastAsia="ar-SA"/>
              </w:rPr>
              <w:t xml:space="preserve"> 5 lat</w:t>
            </w:r>
          </w:p>
          <w:p w:rsidR="007B33C7" w:rsidRPr="007B33C7" w:rsidRDefault="007B33C7" w:rsidP="007B33C7">
            <w:pPr>
              <w:suppressAutoHyphens/>
              <w:spacing w:after="0" w:line="240" w:lineRule="auto"/>
              <w:rPr>
                <w:b/>
                <w:lang w:eastAsia="ar-SA"/>
              </w:rPr>
            </w:pPr>
            <w:r w:rsidRPr="007B33C7">
              <w:rPr>
                <w:b/>
                <w:lang w:eastAsia="ar-SA"/>
              </w:rPr>
              <w:t xml:space="preserve">2 pkt. -     </w:t>
            </w:r>
            <w:r w:rsidRPr="007B33C7">
              <w:rPr>
                <w:rFonts w:cs="Calibri"/>
                <w:b/>
                <w:lang w:eastAsia="ar-SA"/>
              </w:rPr>
              <w:t xml:space="preserve">≥ </w:t>
            </w:r>
            <w:r w:rsidRPr="007B33C7">
              <w:rPr>
                <w:b/>
                <w:lang w:eastAsia="ar-SA"/>
              </w:rPr>
              <w:t>2 lata i &lt; 5 lat</w:t>
            </w:r>
          </w:p>
          <w:p w:rsidR="007B33C7" w:rsidRPr="007B33C7" w:rsidRDefault="007B33C7" w:rsidP="007B33C7">
            <w:pPr>
              <w:suppressAutoHyphens/>
              <w:spacing w:after="0" w:line="240" w:lineRule="auto"/>
              <w:rPr>
                <w:b/>
                <w:lang w:eastAsia="ar-SA"/>
              </w:rPr>
            </w:pPr>
            <w:r w:rsidRPr="007B33C7">
              <w:rPr>
                <w:b/>
                <w:lang w:eastAsia="ar-SA"/>
              </w:rPr>
              <w:t>1 pkt. -     &lt; 2 lata</w:t>
            </w:r>
          </w:p>
          <w:p w:rsidR="007B33C7" w:rsidRPr="007B33C7" w:rsidRDefault="007B33C7" w:rsidP="007B33C7">
            <w:pPr>
              <w:suppressAutoHyphens/>
              <w:spacing w:after="0" w:line="240" w:lineRule="auto"/>
              <w:rPr>
                <w:b/>
                <w:lang w:eastAsia="ar-SA"/>
              </w:rPr>
            </w:pPr>
            <w:r w:rsidRPr="007B33C7">
              <w:rPr>
                <w:b/>
                <w:lang w:eastAsia="ar-SA"/>
              </w:rPr>
              <w:t>0 pkt. -     nie ma doświadczenia</w:t>
            </w:r>
          </w:p>
        </w:tc>
      </w:tr>
      <w:tr w:rsidR="007B33C7" w:rsidRPr="007B33C7" w:rsidTr="007B33C7">
        <w:trPr>
          <w:trHeight w:val="577"/>
        </w:trPr>
        <w:tc>
          <w:tcPr>
            <w:tcW w:w="1101" w:type="dxa"/>
            <w:tcBorders>
              <w:left w:val="single" w:sz="8" w:space="0" w:color="FFFFFF"/>
              <w:bottom w:val="single" w:sz="8" w:space="0" w:color="FFFFFF"/>
              <w:right w:val="single" w:sz="8" w:space="0" w:color="FFFFFF"/>
            </w:tcBorders>
            <w:shd w:val="clear" w:color="auto" w:fill="A5D5E2"/>
            <w:vAlign w:val="center"/>
          </w:tcPr>
          <w:p w:rsidR="007B33C7" w:rsidRPr="007B33C7" w:rsidRDefault="007B33C7" w:rsidP="007B33C7">
            <w:pPr>
              <w:suppressAutoHyphens/>
              <w:spacing w:after="0" w:line="240" w:lineRule="auto"/>
              <w:rPr>
                <w:b/>
                <w:lang w:eastAsia="ar-SA"/>
              </w:rPr>
            </w:pPr>
            <w:r w:rsidRPr="007B33C7">
              <w:rPr>
                <w:b/>
                <w:lang w:eastAsia="ar-SA"/>
              </w:rPr>
              <w:t>10</w:t>
            </w:r>
          </w:p>
        </w:tc>
        <w:tc>
          <w:tcPr>
            <w:tcW w:w="3118" w:type="dxa"/>
            <w:tcBorders>
              <w:bottom w:val="single" w:sz="8" w:space="0" w:color="FFFFFF"/>
            </w:tcBorders>
            <w:shd w:val="clear" w:color="auto" w:fill="DAEEF3"/>
            <w:vAlign w:val="center"/>
          </w:tcPr>
          <w:p w:rsidR="007B33C7" w:rsidRPr="007B33C7" w:rsidRDefault="007B33C7" w:rsidP="007B33C7">
            <w:pPr>
              <w:suppressAutoHyphens/>
              <w:spacing w:after="0" w:line="240" w:lineRule="auto"/>
              <w:rPr>
                <w:b/>
                <w:lang w:eastAsia="ar-SA"/>
              </w:rPr>
            </w:pPr>
            <w:r w:rsidRPr="007B33C7">
              <w:rPr>
                <w:b/>
                <w:lang w:eastAsia="ar-SA"/>
              </w:rPr>
              <w:t>Czy wnioskodawca złożył wcześniej wniosek, który został pozytywnie zaopiniowany przez Komitet?</w:t>
            </w:r>
          </w:p>
        </w:tc>
        <w:tc>
          <w:tcPr>
            <w:tcW w:w="913" w:type="dxa"/>
            <w:tcBorders>
              <w:left w:val="single" w:sz="8" w:space="0" w:color="FFFFFF"/>
              <w:bottom w:val="single" w:sz="8" w:space="0" w:color="FFFFFF"/>
              <w:right w:val="single" w:sz="8" w:space="0" w:color="FFFFFF"/>
            </w:tcBorders>
            <w:shd w:val="clear" w:color="auto" w:fill="DAEEF3"/>
            <w:vAlign w:val="center"/>
          </w:tcPr>
          <w:p w:rsidR="007B33C7" w:rsidRPr="007B33C7" w:rsidRDefault="007B33C7" w:rsidP="007B33C7">
            <w:pPr>
              <w:suppressAutoHyphens/>
              <w:spacing w:after="0" w:line="240" w:lineRule="auto"/>
              <w:ind w:firstLine="425"/>
              <w:rPr>
                <w:b/>
                <w:lang w:eastAsia="ar-SA"/>
              </w:rPr>
            </w:pPr>
            <w:r w:rsidRPr="007B33C7">
              <w:rPr>
                <w:b/>
                <w:lang w:eastAsia="ar-SA"/>
              </w:rPr>
              <w:t>2</w:t>
            </w:r>
          </w:p>
        </w:tc>
        <w:tc>
          <w:tcPr>
            <w:tcW w:w="1072" w:type="dxa"/>
            <w:tcBorders>
              <w:bottom w:val="single" w:sz="8" w:space="0" w:color="FFFFFF"/>
            </w:tcBorders>
            <w:shd w:val="clear" w:color="auto" w:fill="DAEEF3"/>
            <w:vAlign w:val="center"/>
          </w:tcPr>
          <w:p w:rsidR="007B33C7" w:rsidRPr="007B33C7" w:rsidRDefault="007B33C7" w:rsidP="007B33C7">
            <w:pPr>
              <w:suppressAutoHyphens/>
              <w:spacing w:after="0" w:line="240" w:lineRule="auto"/>
              <w:ind w:firstLine="425"/>
              <w:rPr>
                <w:b/>
                <w:lang w:eastAsia="ar-SA"/>
              </w:rPr>
            </w:pPr>
            <w:r w:rsidRPr="007B33C7">
              <w:rPr>
                <w:b/>
                <w:lang w:eastAsia="ar-SA"/>
              </w:rPr>
              <w:t>0-2</w:t>
            </w:r>
          </w:p>
        </w:tc>
        <w:tc>
          <w:tcPr>
            <w:tcW w:w="4003" w:type="dxa"/>
            <w:tcBorders>
              <w:left w:val="single" w:sz="8" w:space="0" w:color="FFFFFF"/>
              <w:bottom w:val="single" w:sz="8" w:space="0" w:color="FFFFFF"/>
              <w:right w:val="single" w:sz="8" w:space="0" w:color="FFFFFF"/>
            </w:tcBorders>
            <w:shd w:val="clear" w:color="auto" w:fill="DAEEF3"/>
            <w:vAlign w:val="center"/>
          </w:tcPr>
          <w:p w:rsidR="007B33C7" w:rsidRPr="007B33C7" w:rsidRDefault="007B33C7" w:rsidP="007B33C7">
            <w:pPr>
              <w:suppressAutoHyphens/>
              <w:spacing w:after="0" w:line="240" w:lineRule="auto"/>
              <w:rPr>
                <w:b/>
                <w:lang w:eastAsia="ar-SA"/>
              </w:rPr>
            </w:pPr>
            <w:r w:rsidRPr="007B33C7">
              <w:rPr>
                <w:b/>
                <w:lang w:eastAsia="ar-SA"/>
              </w:rPr>
              <w:t>2 pkt. – nie</w:t>
            </w:r>
          </w:p>
          <w:p w:rsidR="007B33C7" w:rsidRPr="007B33C7" w:rsidRDefault="007B33C7" w:rsidP="007B33C7">
            <w:pPr>
              <w:suppressAutoHyphens/>
              <w:spacing w:after="0" w:line="240" w:lineRule="auto"/>
              <w:rPr>
                <w:b/>
                <w:lang w:eastAsia="ar-SA"/>
              </w:rPr>
            </w:pPr>
            <w:r w:rsidRPr="007B33C7">
              <w:rPr>
                <w:b/>
                <w:lang w:eastAsia="ar-SA"/>
              </w:rPr>
              <w:t>1 pkt. – tak – 1 raz</w:t>
            </w:r>
          </w:p>
          <w:p w:rsidR="007B33C7" w:rsidRPr="007B33C7" w:rsidRDefault="007B33C7" w:rsidP="007B33C7">
            <w:pPr>
              <w:suppressAutoHyphens/>
              <w:spacing w:after="0" w:line="240" w:lineRule="auto"/>
              <w:rPr>
                <w:b/>
                <w:lang w:eastAsia="ar-SA"/>
              </w:rPr>
            </w:pPr>
            <w:r w:rsidRPr="007B33C7">
              <w:rPr>
                <w:b/>
                <w:lang w:eastAsia="ar-SA"/>
              </w:rPr>
              <w:t>0 pkt. – tak – 2 razy</w:t>
            </w:r>
          </w:p>
        </w:tc>
      </w:tr>
      <w:tr w:rsidR="007B33C7" w:rsidRPr="007B33C7" w:rsidTr="007B33C7">
        <w:trPr>
          <w:trHeight w:val="577"/>
        </w:trPr>
        <w:tc>
          <w:tcPr>
            <w:tcW w:w="1101" w:type="dxa"/>
            <w:tcBorders>
              <w:left w:val="single" w:sz="8" w:space="0" w:color="FFFFFF"/>
              <w:bottom w:val="single" w:sz="8" w:space="0" w:color="FFFFFF"/>
              <w:right w:val="single" w:sz="8" w:space="0" w:color="FFFFFF"/>
            </w:tcBorders>
            <w:shd w:val="clear" w:color="auto" w:fill="A5D5E2"/>
            <w:vAlign w:val="center"/>
          </w:tcPr>
          <w:p w:rsidR="007B33C7" w:rsidRPr="007B33C7" w:rsidRDefault="007B33C7" w:rsidP="007B33C7">
            <w:pPr>
              <w:suppressAutoHyphens/>
              <w:spacing w:after="0" w:line="240" w:lineRule="auto"/>
              <w:rPr>
                <w:b/>
                <w:lang w:eastAsia="ar-SA"/>
              </w:rPr>
            </w:pPr>
            <w:r w:rsidRPr="007B33C7">
              <w:rPr>
                <w:b/>
                <w:lang w:eastAsia="ar-SA"/>
              </w:rPr>
              <w:t>11</w:t>
            </w:r>
          </w:p>
        </w:tc>
        <w:tc>
          <w:tcPr>
            <w:tcW w:w="3118" w:type="dxa"/>
            <w:tcBorders>
              <w:bottom w:val="single" w:sz="8" w:space="0" w:color="FFFFFF"/>
            </w:tcBorders>
            <w:shd w:val="clear" w:color="auto" w:fill="DAEEF3"/>
            <w:vAlign w:val="center"/>
          </w:tcPr>
          <w:p w:rsidR="007B33C7" w:rsidRPr="007B33C7" w:rsidRDefault="007B33C7" w:rsidP="007B33C7">
            <w:pPr>
              <w:suppressAutoHyphens/>
              <w:spacing w:after="0" w:line="240" w:lineRule="auto"/>
              <w:rPr>
                <w:b/>
                <w:lang w:eastAsia="ar-SA"/>
              </w:rPr>
            </w:pPr>
            <w:r w:rsidRPr="007B33C7">
              <w:rPr>
                <w:b/>
                <w:lang w:eastAsia="ar-SA"/>
              </w:rPr>
              <w:t xml:space="preserve">Wysokość wkładu własnego </w:t>
            </w:r>
          </w:p>
        </w:tc>
        <w:tc>
          <w:tcPr>
            <w:tcW w:w="913" w:type="dxa"/>
            <w:tcBorders>
              <w:left w:val="single" w:sz="8" w:space="0" w:color="FFFFFF"/>
              <w:bottom w:val="single" w:sz="8" w:space="0" w:color="FFFFFF"/>
              <w:right w:val="single" w:sz="8" w:space="0" w:color="FFFFFF"/>
            </w:tcBorders>
            <w:shd w:val="clear" w:color="auto" w:fill="DAEEF3"/>
            <w:vAlign w:val="center"/>
          </w:tcPr>
          <w:p w:rsidR="007B33C7" w:rsidRPr="007B33C7" w:rsidRDefault="007B33C7" w:rsidP="007B33C7">
            <w:pPr>
              <w:suppressAutoHyphens/>
              <w:spacing w:after="0" w:line="240" w:lineRule="auto"/>
              <w:ind w:firstLine="425"/>
              <w:rPr>
                <w:b/>
                <w:lang w:eastAsia="ar-SA"/>
              </w:rPr>
            </w:pPr>
            <w:r w:rsidRPr="007B33C7">
              <w:rPr>
                <w:b/>
                <w:lang w:eastAsia="ar-SA"/>
              </w:rPr>
              <w:t>1</w:t>
            </w:r>
          </w:p>
        </w:tc>
        <w:tc>
          <w:tcPr>
            <w:tcW w:w="1072" w:type="dxa"/>
            <w:tcBorders>
              <w:bottom w:val="single" w:sz="8" w:space="0" w:color="FFFFFF"/>
            </w:tcBorders>
            <w:shd w:val="clear" w:color="auto" w:fill="DAEEF3"/>
            <w:vAlign w:val="center"/>
          </w:tcPr>
          <w:p w:rsidR="007B33C7" w:rsidRPr="007B33C7" w:rsidRDefault="007B33C7" w:rsidP="007B33C7">
            <w:pPr>
              <w:suppressAutoHyphens/>
              <w:spacing w:after="0" w:line="240" w:lineRule="auto"/>
              <w:ind w:firstLine="425"/>
              <w:rPr>
                <w:b/>
                <w:lang w:eastAsia="ar-SA"/>
              </w:rPr>
            </w:pPr>
            <w:r w:rsidRPr="007B33C7">
              <w:rPr>
                <w:b/>
                <w:lang w:eastAsia="ar-SA"/>
              </w:rPr>
              <w:t>0-1</w:t>
            </w:r>
          </w:p>
        </w:tc>
        <w:tc>
          <w:tcPr>
            <w:tcW w:w="4003" w:type="dxa"/>
            <w:tcBorders>
              <w:left w:val="single" w:sz="8" w:space="0" w:color="FFFFFF"/>
              <w:bottom w:val="single" w:sz="8" w:space="0" w:color="FFFFFF"/>
              <w:right w:val="single" w:sz="8" w:space="0" w:color="FFFFFF"/>
            </w:tcBorders>
            <w:shd w:val="clear" w:color="auto" w:fill="DAEEF3"/>
            <w:vAlign w:val="center"/>
          </w:tcPr>
          <w:p w:rsidR="007B33C7" w:rsidRPr="007B33C7" w:rsidRDefault="007B33C7" w:rsidP="007B33C7">
            <w:pPr>
              <w:suppressAutoHyphens/>
              <w:spacing w:after="0" w:line="240" w:lineRule="auto"/>
              <w:rPr>
                <w:b/>
                <w:lang w:eastAsia="ar-SA"/>
              </w:rPr>
            </w:pPr>
            <w:r w:rsidRPr="007B33C7">
              <w:rPr>
                <w:b/>
                <w:lang w:eastAsia="ar-SA"/>
              </w:rPr>
              <w:t>1 pkt. – 10% i więcej wyższy od minimum</w:t>
            </w:r>
          </w:p>
          <w:p w:rsidR="007B33C7" w:rsidRPr="007B33C7" w:rsidRDefault="007B33C7" w:rsidP="007B33C7">
            <w:pPr>
              <w:suppressAutoHyphens/>
              <w:spacing w:after="0" w:line="240" w:lineRule="auto"/>
              <w:rPr>
                <w:b/>
                <w:lang w:eastAsia="ar-SA"/>
              </w:rPr>
            </w:pPr>
            <w:r w:rsidRPr="007B33C7">
              <w:rPr>
                <w:b/>
                <w:lang w:eastAsia="ar-SA"/>
              </w:rPr>
              <w:t>0 pkt. – do 10% wyższy od minimum</w:t>
            </w:r>
          </w:p>
        </w:tc>
      </w:tr>
      <w:tr w:rsidR="007B33C7" w:rsidRPr="007B33C7" w:rsidTr="007B33C7">
        <w:trPr>
          <w:trHeight w:val="152"/>
        </w:trPr>
        <w:tc>
          <w:tcPr>
            <w:tcW w:w="10207" w:type="dxa"/>
            <w:gridSpan w:val="5"/>
            <w:tcBorders>
              <w:top w:val="single" w:sz="8" w:space="0" w:color="FFFFFF"/>
              <w:left w:val="single" w:sz="8" w:space="0" w:color="FFFFFF"/>
              <w:bottom w:val="single" w:sz="8" w:space="0" w:color="FFFFFF"/>
              <w:right w:val="single" w:sz="8" w:space="0" w:color="FFFFFF"/>
            </w:tcBorders>
            <w:shd w:val="clear" w:color="auto" w:fill="215868"/>
          </w:tcPr>
          <w:p w:rsidR="007B33C7" w:rsidRPr="007B33C7" w:rsidRDefault="007B33C7" w:rsidP="007B33C7">
            <w:pPr>
              <w:suppressAutoHyphens/>
              <w:spacing w:after="0" w:line="240" w:lineRule="auto"/>
              <w:ind w:firstLine="425"/>
              <w:rPr>
                <w:b/>
                <w:color w:val="FFFFFF"/>
                <w:lang w:eastAsia="ar-SA"/>
              </w:rPr>
            </w:pPr>
            <w:r w:rsidRPr="007B33C7">
              <w:rPr>
                <w:b/>
                <w:color w:val="FFFFFF"/>
                <w:lang w:eastAsia="ar-SA"/>
              </w:rPr>
              <w:t>Maksymalna ilość pkt. 39</w:t>
            </w:r>
          </w:p>
        </w:tc>
      </w:tr>
    </w:tbl>
    <w:p w:rsidR="007B33C7" w:rsidRPr="007B33C7" w:rsidRDefault="007B33C7" w:rsidP="007B33C7">
      <w:pPr>
        <w:spacing w:before="200" w:after="120" w:line="240" w:lineRule="auto"/>
        <w:jc w:val="both"/>
        <w:outlineLvl w:val="0"/>
        <w:rPr>
          <w:b/>
          <w:bCs/>
          <w:kern w:val="28"/>
        </w:rPr>
      </w:pPr>
    </w:p>
    <w:p w:rsidR="007B33C7" w:rsidRPr="007B33C7" w:rsidRDefault="007B33C7" w:rsidP="007B33C7">
      <w:pPr>
        <w:spacing w:after="0" w:line="240" w:lineRule="auto"/>
        <w:jc w:val="center"/>
        <w:rPr>
          <w:rFonts w:eastAsia="Calibri"/>
          <w:lang w:eastAsia="en-US"/>
        </w:rPr>
      </w:pPr>
    </w:p>
    <w:p w:rsidR="007B33C7" w:rsidRPr="007B33C7" w:rsidRDefault="007B33C7" w:rsidP="005D004A">
      <w:pPr>
        <w:spacing w:after="0" w:line="240" w:lineRule="auto"/>
        <w:rPr>
          <w:rFonts w:eastAsia="Calibri"/>
          <w:lang w:eastAsia="en-US"/>
        </w:rPr>
      </w:pPr>
      <w:bookmarkStart w:id="0" w:name="_GoBack"/>
      <w:bookmarkEnd w:id="0"/>
    </w:p>
    <w:p w:rsidR="007B33C7" w:rsidRPr="007B33C7" w:rsidRDefault="007B33C7" w:rsidP="007B33C7">
      <w:pPr>
        <w:spacing w:after="0" w:line="240" w:lineRule="auto"/>
        <w:jc w:val="center"/>
        <w:rPr>
          <w:rFonts w:eastAsia="Calibri"/>
          <w:lang w:eastAsia="en-US"/>
        </w:rPr>
      </w:pPr>
    </w:p>
    <w:p w:rsidR="007B33C7" w:rsidRPr="007B33C7" w:rsidRDefault="007B33C7" w:rsidP="007B33C7">
      <w:pPr>
        <w:spacing w:after="0" w:line="240" w:lineRule="auto"/>
        <w:jc w:val="center"/>
        <w:rPr>
          <w:rFonts w:eastAsia="Calibri"/>
          <w:lang w:eastAsia="en-US"/>
        </w:rPr>
      </w:pPr>
      <w:r w:rsidRPr="007B33C7">
        <w:rPr>
          <w:rFonts w:eastAsia="Calibri"/>
          <w:lang w:eastAsia="en-US"/>
        </w:rPr>
        <w:t>INSTRUKCJA I OPIS KRYTERIÓW DO KARTY</w:t>
      </w:r>
    </w:p>
    <w:p w:rsidR="007B33C7" w:rsidRPr="007B33C7" w:rsidRDefault="007B33C7" w:rsidP="007B33C7">
      <w:pPr>
        <w:spacing w:after="0" w:line="240" w:lineRule="auto"/>
        <w:jc w:val="both"/>
        <w:rPr>
          <w:rFonts w:eastAsia="Calibri"/>
          <w:lang w:eastAsia="en-US"/>
        </w:rPr>
      </w:pPr>
      <w:r w:rsidRPr="007B33C7">
        <w:rPr>
          <w:rFonts w:eastAsia="Calibri"/>
          <w:lang w:eastAsia="en-US"/>
        </w:rPr>
        <w:t>OCHRONA ŚRODOWISKA LUB DZIEDZICTWA PRZYRODNICZEGO NA OBSZARACH ZALEŻNYCH OD RYBACTWA W CELU UTRZYMANIA JEGO ATRAKCYJNOŚCI LUB PRZYWRÓCENIA POTENCJAŁU PRODUKCYJNEGO SEKTORA RYBACTWA, W PRZYPADKU JEGO ZNISZCZENIA WYNIKU KLĘSKI ŻYWIOŁOWEJ (SEKTOR SPOŁECZNY I GOSPODARCZY)</w:t>
      </w:r>
    </w:p>
    <w:p w:rsidR="007B33C7" w:rsidRPr="007B33C7" w:rsidRDefault="007B33C7" w:rsidP="007B33C7">
      <w:pPr>
        <w:spacing w:after="0" w:line="240" w:lineRule="auto"/>
        <w:ind w:left="720"/>
        <w:contextualSpacing/>
        <w:rPr>
          <w:rFonts w:eastAsia="Calibri"/>
          <w:lang w:eastAsia="en-US"/>
        </w:rPr>
      </w:pPr>
    </w:p>
    <w:p w:rsidR="007B33C7" w:rsidRPr="007B33C7" w:rsidRDefault="007B33C7" w:rsidP="007B33C7">
      <w:pPr>
        <w:spacing w:after="0" w:line="240" w:lineRule="auto"/>
        <w:contextualSpacing/>
        <w:jc w:val="both"/>
        <w:rPr>
          <w:rFonts w:eastAsia="Calibri"/>
          <w:lang w:eastAsia="en-US"/>
        </w:rPr>
      </w:pPr>
      <w:r w:rsidRPr="007B33C7">
        <w:rPr>
          <w:b/>
          <w:lang w:eastAsia="ar-SA"/>
        </w:rPr>
        <w:t>1.</w:t>
      </w:r>
      <w:r w:rsidRPr="007B33C7">
        <w:rPr>
          <w:b/>
          <w:lang w:eastAsia="ar-SA"/>
        </w:rPr>
        <w:tab/>
        <w:t>Czy formularz wniosku został wypełniony zgodnie z instrukcją?</w:t>
      </w:r>
    </w:p>
    <w:p w:rsidR="007B33C7" w:rsidRPr="007B33C7" w:rsidRDefault="007B33C7" w:rsidP="007B33C7">
      <w:pPr>
        <w:spacing w:after="0" w:line="240" w:lineRule="auto"/>
        <w:jc w:val="both"/>
        <w:rPr>
          <w:rFonts w:eastAsia="Calibri"/>
          <w:i/>
          <w:lang w:eastAsia="en-US"/>
        </w:rPr>
      </w:pPr>
      <w:r w:rsidRPr="007B33C7">
        <w:rPr>
          <w:rFonts w:eastAsia="Calibri"/>
          <w:i/>
          <w:lang w:eastAsia="en-US"/>
        </w:rPr>
        <w:t>Punkty przyznawane będą za poprawnie wypełniony wniosek (zgodnie z opublikowaną w ramach konkursu instrukcją wypełniania wniosków). Punkty za prawidłowość wypełnienia wniosku mają za zadanie zmobilizować wnioskodawcę do zapoznania się z Instrukcją wypełniania wniosków oraz do poprawnego wypełnienia formularza wniosku.</w:t>
      </w:r>
    </w:p>
    <w:p w:rsidR="007B33C7" w:rsidRPr="007B33C7" w:rsidRDefault="007B33C7" w:rsidP="007B33C7">
      <w:pPr>
        <w:spacing w:after="0" w:line="240" w:lineRule="auto"/>
        <w:jc w:val="both"/>
        <w:rPr>
          <w:rFonts w:eastAsia="Calibri"/>
          <w:i/>
          <w:lang w:eastAsia="en-US"/>
        </w:rPr>
      </w:pPr>
    </w:p>
    <w:p w:rsidR="007B33C7" w:rsidRPr="007B33C7" w:rsidRDefault="007B33C7" w:rsidP="007B33C7">
      <w:pPr>
        <w:spacing w:after="0" w:line="240" w:lineRule="auto"/>
        <w:contextualSpacing/>
        <w:jc w:val="both"/>
        <w:rPr>
          <w:b/>
          <w:lang w:eastAsia="ar-SA"/>
        </w:rPr>
      </w:pPr>
      <w:r w:rsidRPr="007B33C7">
        <w:rPr>
          <w:b/>
          <w:lang w:eastAsia="ar-SA"/>
        </w:rPr>
        <w:t>2.</w:t>
      </w:r>
      <w:r w:rsidRPr="007B33C7">
        <w:rPr>
          <w:b/>
          <w:lang w:eastAsia="ar-SA"/>
        </w:rPr>
        <w:tab/>
        <w:t>Czy wnioskodawca wraz z wnioskiem złożył wszystkie wymagane dokumenty?</w:t>
      </w:r>
    </w:p>
    <w:p w:rsidR="007B33C7" w:rsidRPr="007B33C7" w:rsidRDefault="007B33C7" w:rsidP="007B33C7">
      <w:pPr>
        <w:spacing w:after="0" w:line="240" w:lineRule="auto"/>
        <w:jc w:val="both"/>
        <w:rPr>
          <w:lang w:eastAsia="ar-SA"/>
        </w:rPr>
      </w:pPr>
    </w:p>
    <w:p w:rsidR="007B33C7" w:rsidRPr="007B33C7" w:rsidRDefault="007B33C7" w:rsidP="007B33C7">
      <w:pPr>
        <w:spacing w:after="0" w:line="240" w:lineRule="auto"/>
        <w:jc w:val="both"/>
        <w:rPr>
          <w:rFonts w:eastAsia="Calibri"/>
          <w:i/>
          <w:lang w:eastAsia="en-US"/>
        </w:rPr>
      </w:pPr>
      <w:r w:rsidRPr="007B33C7">
        <w:rPr>
          <w:rFonts w:eastAsia="Calibri"/>
          <w:i/>
          <w:lang w:eastAsia="en-US"/>
        </w:rPr>
        <w:t xml:space="preserve">Punkty przyznawane są w przypadku, gdy wnioskodawca złożył wraz z wnioskiem wszystkie wymagane dokumenty (załączniki), zgodnie z wykazem podanym w informacji o możliwości składania wniosków. Punkty,  za złożenie wszystkich wymaganych w aplikacji załączników, mają za zadanie zmobilizować potencjalnych beneficjentów do szczegółowej analizy ogłoszonego konkursu. Punkty te mają za zadanie zachęcenie wnioskodawcy do analizy faktycznej możliwości realizacji operacji – uzyskanie niezbędnych dokumentów np. decyzji pozwolenie na budowę. </w:t>
      </w:r>
    </w:p>
    <w:p w:rsidR="007B33C7" w:rsidRPr="007B33C7" w:rsidRDefault="007B33C7" w:rsidP="007B33C7">
      <w:pPr>
        <w:spacing w:after="0" w:line="240" w:lineRule="auto"/>
        <w:contextualSpacing/>
        <w:jc w:val="both"/>
        <w:rPr>
          <w:b/>
          <w:lang w:eastAsia="ar-SA"/>
        </w:rPr>
      </w:pPr>
    </w:p>
    <w:p w:rsidR="007B33C7" w:rsidRPr="007B33C7" w:rsidRDefault="007B33C7" w:rsidP="007B33C7">
      <w:pPr>
        <w:spacing w:after="0" w:line="240" w:lineRule="auto"/>
        <w:contextualSpacing/>
        <w:jc w:val="both"/>
        <w:rPr>
          <w:b/>
          <w:lang w:eastAsia="ar-SA"/>
        </w:rPr>
      </w:pPr>
      <w:r w:rsidRPr="007B33C7">
        <w:rPr>
          <w:b/>
          <w:lang w:eastAsia="ar-SA"/>
        </w:rPr>
        <w:t>3.</w:t>
      </w:r>
      <w:r w:rsidRPr="007B33C7">
        <w:rPr>
          <w:b/>
          <w:lang w:eastAsia="ar-SA"/>
        </w:rPr>
        <w:tab/>
        <w:t>Operacja realizowana w obrębie obszaru prawnie chronionego – w rozumieniu Ustawy z dnia 16 kwietnia 2004 o ochronie przyrody</w:t>
      </w:r>
    </w:p>
    <w:p w:rsidR="007B33C7" w:rsidRPr="007B33C7" w:rsidRDefault="007B33C7" w:rsidP="007B33C7">
      <w:pPr>
        <w:spacing w:after="0" w:line="240" w:lineRule="auto"/>
        <w:ind w:left="709"/>
        <w:contextualSpacing/>
        <w:rPr>
          <w:rFonts w:eastAsia="Calibri"/>
          <w:lang w:eastAsia="en-US"/>
        </w:rPr>
      </w:pPr>
    </w:p>
    <w:p w:rsidR="007B33C7" w:rsidRPr="007B33C7" w:rsidRDefault="007B33C7" w:rsidP="007B33C7">
      <w:pPr>
        <w:spacing w:after="0" w:line="240" w:lineRule="auto"/>
        <w:rPr>
          <w:rFonts w:eastAsia="Calibri"/>
          <w:i/>
          <w:lang w:eastAsia="en-US"/>
        </w:rPr>
      </w:pPr>
      <w:r w:rsidRPr="007B33C7">
        <w:rPr>
          <w:rFonts w:eastAsia="Calibri"/>
          <w:i/>
          <w:lang w:eastAsia="en-US"/>
        </w:rPr>
        <w:t xml:space="preserve">Punkty przyznawane są w zależności od statusu obszaru, na którym realizowana będzie operacja. </w:t>
      </w:r>
    </w:p>
    <w:p w:rsidR="007B33C7" w:rsidRPr="007B33C7" w:rsidRDefault="007B33C7" w:rsidP="007B33C7">
      <w:pPr>
        <w:numPr>
          <w:ilvl w:val="0"/>
          <w:numId w:val="6"/>
        </w:numPr>
        <w:spacing w:after="0" w:line="240" w:lineRule="auto"/>
        <w:contextualSpacing/>
        <w:jc w:val="both"/>
        <w:rPr>
          <w:rFonts w:eastAsia="Calibri"/>
          <w:i/>
          <w:lang w:eastAsia="en-US"/>
        </w:rPr>
      </w:pPr>
      <w:r w:rsidRPr="007B33C7">
        <w:rPr>
          <w:rFonts w:eastAsia="Calibri"/>
          <w:i/>
          <w:lang w:eastAsia="en-US"/>
        </w:rPr>
        <w:t>Kryterium obszar realizacji operacji badane będzie w oparciu o Ustawę z dnia 16 kwietnia 2004 o ochronie przyrody. Podstawą do uzyskania punktów w ramach tego kryterium będą  dokumenty przedstawione przez Wnioskodawców, potwierdzające charakter obszaru. Nie załączenie przez Wnioskodawcę odpowiednich dokumentów potwierdzających status obszaru skutkowało będzie nie przyznaniem punktów;</w:t>
      </w:r>
    </w:p>
    <w:p w:rsidR="007B33C7" w:rsidRPr="007B33C7" w:rsidRDefault="007B33C7" w:rsidP="007B33C7">
      <w:pPr>
        <w:spacing w:after="0" w:line="240" w:lineRule="auto"/>
        <w:ind w:left="720"/>
        <w:contextualSpacing/>
        <w:jc w:val="both"/>
        <w:rPr>
          <w:rFonts w:eastAsia="Calibri"/>
          <w:i/>
          <w:lang w:eastAsia="en-US"/>
        </w:rPr>
      </w:pPr>
    </w:p>
    <w:p w:rsidR="007B33C7" w:rsidRPr="007B33C7" w:rsidRDefault="007B33C7" w:rsidP="007B33C7">
      <w:pPr>
        <w:spacing w:after="0" w:line="240" w:lineRule="auto"/>
        <w:contextualSpacing/>
        <w:rPr>
          <w:rFonts w:eastAsia="Calibri"/>
          <w:b/>
          <w:lang w:eastAsia="en-US"/>
        </w:rPr>
      </w:pPr>
      <w:r w:rsidRPr="007B33C7">
        <w:rPr>
          <w:rFonts w:eastAsia="Calibri"/>
          <w:b/>
          <w:lang w:eastAsia="en-US"/>
        </w:rPr>
        <w:t>4.</w:t>
      </w:r>
      <w:r w:rsidRPr="007B33C7">
        <w:rPr>
          <w:rFonts w:eastAsia="Calibri"/>
          <w:b/>
          <w:lang w:eastAsia="en-US"/>
        </w:rPr>
        <w:tab/>
        <w:t>Obszar oddziaływania operacji</w:t>
      </w:r>
    </w:p>
    <w:p w:rsidR="007B33C7" w:rsidRPr="007B33C7" w:rsidRDefault="007B33C7" w:rsidP="007B33C7">
      <w:pPr>
        <w:spacing w:after="0" w:line="240" w:lineRule="auto"/>
        <w:ind w:left="709"/>
        <w:contextualSpacing/>
        <w:rPr>
          <w:rFonts w:eastAsia="Calibri"/>
          <w:b/>
          <w:lang w:eastAsia="en-US"/>
        </w:rPr>
      </w:pPr>
    </w:p>
    <w:p w:rsidR="007B33C7" w:rsidRPr="007B33C7" w:rsidRDefault="007B33C7" w:rsidP="007B33C7">
      <w:pPr>
        <w:spacing w:after="0" w:line="240" w:lineRule="auto"/>
        <w:ind w:left="709"/>
        <w:contextualSpacing/>
        <w:rPr>
          <w:rFonts w:eastAsia="Calibri"/>
          <w:b/>
          <w:lang w:eastAsia="en-US"/>
        </w:rPr>
      </w:pPr>
    </w:p>
    <w:p w:rsidR="007B33C7" w:rsidRPr="007B33C7" w:rsidRDefault="007B33C7" w:rsidP="007B33C7">
      <w:pPr>
        <w:spacing w:after="0" w:line="240" w:lineRule="auto"/>
        <w:contextualSpacing/>
        <w:jc w:val="both"/>
        <w:rPr>
          <w:rFonts w:eastAsia="Calibri"/>
          <w:b/>
          <w:i/>
          <w:lang w:eastAsia="en-US"/>
        </w:rPr>
      </w:pPr>
      <w:r w:rsidRPr="007B33C7">
        <w:rPr>
          <w:rFonts w:eastAsia="Calibri"/>
          <w:i/>
          <w:lang w:eastAsia="en-US"/>
        </w:rPr>
        <w:t xml:space="preserve">Punkty przyznawane są w zależności od wielkości oddziaływania pozytywnych efektów realizacji operacji na obszar. Promowane będą operację, które oddziaływać będą pozytywnie na jak największy obszar środowiska przyrodniczego. Kryterium te skorelowane jest z celami LSROR np. celem </w:t>
      </w:r>
      <w:r w:rsidRPr="007B33C7">
        <w:rPr>
          <w:rFonts w:eastAsia="Calibri"/>
          <w:b/>
          <w:i/>
          <w:lang w:eastAsia="en-US"/>
        </w:rPr>
        <w:t>Ochrona miejscowych zasobów wodnych.</w:t>
      </w:r>
    </w:p>
    <w:p w:rsidR="007B33C7" w:rsidRPr="007B33C7" w:rsidRDefault="007B33C7" w:rsidP="007B33C7">
      <w:pPr>
        <w:numPr>
          <w:ilvl w:val="0"/>
          <w:numId w:val="6"/>
        </w:numPr>
        <w:spacing w:after="0" w:line="240" w:lineRule="auto"/>
        <w:contextualSpacing/>
        <w:jc w:val="both"/>
        <w:rPr>
          <w:rFonts w:eastAsia="Calibri"/>
          <w:i/>
          <w:lang w:eastAsia="en-US"/>
        </w:rPr>
      </w:pPr>
      <w:r w:rsidRPr="007B33C7">
        <w:rPr>
          <w:rFonts w:eastAsia="Calibri"/>
          <w:i/>
          <w:lang w:eastAsia="en-US"/>
        </w:rPr>
        <w:t>Kryterium obszar oddziaływania operacji, weryfikowane będzie na podstawie zapisów we wniosku aplikacyjnym, oraz załączonych do niego załączników, a także na podstawie doświadczenia Członków Komitetu.</w:t>
      </w:r>
    </w:p>
    <w:p w:rsidR="007B33C7" w:rsidRPr="007B33C7" w:rsidRDefault="007B33C7" w:rsidP="007B33C7">
      <w:pPr>
        <w:spacing w:after="0" w:line="240" w:lineRule="auto"/>
        <w:ind w:left="720"/>
        <w:contextualSpacing/>
        <w:rPr>
          <w:rFonts w:eastAsia="Calibri"/>
          <w:b/>
          <w:lang w:eastAsia="en-US"/>
        </w:rPr>
      </w:pPr>
    </w:p>
    <w:p w:rsidR="007B33C7" w:rsidRPr="007B33C7" w:rsidRDefault="007B33C7" w:rsidP="007B33C7">
      <w:pPr>
        <w:spacing w:after="0" w:line="240" w:lineRule="auto"/>
        <w:ind w:left="360"/>
        <w:rPr>
          <w:rFonts w:eastAsia="Calibri"/>
          <w:lang w:eastAsia="en-US"/>
        </w:rPr>
      </w:pPr>
    </w:p>
    <w:p w:rsidR="007B33C7" w:rsidRPr="007B33C7" w:rsidRDefault="007B33C7" w:rsidP="007B33C7">
      <w:pPr>
        <w:spacing w:after="0" w:line="240" w:lineRule="auto"/>
        <w:contextualSpacing/>
        <w:rPr>
          <w:rFonts w:eastAsia="Calibri"/>
          <w:lang w:eastAsia="en-US"/>
        </w:rPr>
      </w:pPr>
      <w:r w:rsidRPr="007B33C7">
        <w:rPr>
          <w:rFonts w:eastAsia="Calibri"/>
          <w:b/>
          <w:lang w:eastAsia="en-US"/>
        </w:rPr>
        <w:t>5.</w:t>
      </w:r>
      <w:r w:rsidRPr="007B33C7">
        <w:rPr>
          <w:rFonts w:eastAsia="Calibri"/>
          <w:b/>
          <w:lang w:eastAsia="en-US"/>
        </w:rPr>
        <w:tab/>
        <w:t>Realizacja operacji spowoduje utworzenie nowych miejsc pracy</w:t>
      </w:r>
    </w:p>
    <w:p w:rsidR="007B33C7" w:rsidRPr="007B33C7" w:rsidRDefault="007B33C7" w:rsidP="007B33C7">
      <w:pPr>
        <w:spacing w:after="0" w:line="240" w:lineRule="auto"/>
        <w:ind w:left="720"/>
        <w:contextualSpacing/>
        <w:rPr>
          <w:rFonts w:eastAsia="Calibri"/>
          <w:lang w:eastAsia="en-US"/>
        </w:rPr>
      </w:pPr>
    </w:p>
    <w:p w:rsidR="007B33C7" w:rsidRPr="007B33C7" w:rsidRDefault="007B33C7" w:rsidP="007B33C7">
      <w:pPr>
        <w:spacing w:after="0" w:line="240" w:lineRule="auto"/>
        <w:contextualSpacing/>
        <w:jc w:val="both"/>
        <w:rPr>
          <w:rFonts w:eastAsia="Calibri"/>
          <w:i/>
          <w:lang w:eastAsia="en-US"/>
        </w:rPr>
      </w:pPr>
      <w:r w:rsidRPr="007B33C7">
        <w:rPr>
          <w:rFonts w:eastAsia="Calibri"/>
          <w:i/>
          <w:lang w:eastAsia="en-US"/>
        </w:rPr>
        <w:t>Premiowana będzie efektywność wydatkowania wnioskowanych środków mierzona liczbą utworzonych, w wyniku realizacji operacji, miejsc pracy. Stosowanie kryterium bezpośrednio wpłynie na osiągnięcie celów LSROR.</w:t>
      </w:r>
    </w:p>
    <w:p w:rsidR="007B33C7" w:rsidRPr="007B33C7" w:rsidRDefault="007B33C7" w:rsidP="007B33C7">
      <w:pPr>
        <w:numPr>
          <w:ilvl w:val="0"/>
          <w:numId w:val="6"/>
        </w:numPr>
        <w:spacing w:after="0" w:line="240" w:lineRule="auto"/>
        <w:ind w:left="567" w:hanging="567"/>
        <w:contextualSpacing/>
        <w:jc w:val="both"/>
        <w:rPr>
          <w:rFonts w:eastAsia="Calibri"/>
          <w:i/>
          <w:lang w:eastAsia="en-US"/>
        </w:rPr>
      </w:pPr>
      <w:r w:rsidRPr="007B33C7">
        <w:rPr>
          <w:rFonts w:eastAsia="Calibri"/>
          <w:i/>
          <w:lang w:eastAsia="en-US"/>
        </w:rPr>
        <w:t>Zwiększenie zatrudnienia ustala się na podstawie punktu IV 1.1. Wniosku o dofinansowanie. Pod uwagę brane są wyłącznie osoby zatrudnione na podstawie umowy o pracę w przeliczeniu na pełen etat.</w:t>
      </w:r>
    </w:p>
    <w:p w:rsidR="007B33C7" w:rsidRPr="007B33C7" w:rsidRDefault="007B33C7" w:rsidP="007B33C7">
      <w:pPr>
        <w:spacing w:after="0" w:line="240" w:lineRule="auto"/>
        <w:ind w:left="720" w:hanging="720"/>
        <w:contextualSpacing/>
        <w:rPr>
          <w:rFonts w:eastAsia="Calibri"/>
          <w:lang w:eastAsia="en-US"/>
        </w:rPr>
      </w:pPr>
    </w:p>
    <w:p w:rsidR="007B33C7" w:rsidRPr="007B33C7" w:rsidRDefault="007B33C7" w:rsidP="007B33C7">
      <w:pPr>
        <w:spacing w:after="0" w:line="240" w:lineRule="auto"/>
        <w:contextualSpacing/>
        <w:jc w:val="both"/>
        <w:rPr>
          <w:b/>
          <w:lang w:eastAsia="ar-SA"/>
        </w:rPr>
      </w:pPr>
      <w:r w:rsidRPr="007B33C7">
        <w:rPr>
          <w:b/>
          <w:lang w:eastAsia="ar-SA"/>
        </w:rPr>
        <w:t>6.</w:t>
      </w:r>
      <w:r w:rsidRPr="007B33C7">
        <w:rPr>
          <w:b/>
          <w:lang w:eastAsia="ar-SA"/>
        </w:rPr>
        <w:tab/>
        <w:t>Czy na dzień złożenia wniosku beneficjent był członkiem stowarzyszenia DLGR?</w:t>
      </w:r>
    </w:p>
    <w:p w:rsidR="007B33C7" w:rsidRPr="007B33C7" w:rsidRDefault="007B33C7" w:rsidP="007B33C7">
      <w:pPr>
        <w:spacing w:after="0" w:line="240" w:lineRule="auto"/>
        <w:jc w:val="both"/>
        <w:rPr>
          <w:rFonts w:eastAsia="Calibri"/>
          <w:lang w:eastAsia="en-US"/>
        </w:rPr>
      </w:pPr>
    </w:p>
    <w:p w:rsidR="007B33C7" w:rsidRPr="007B33C7" w:rsidRDefault="007B33C7" w:rsidP="007B33C7">
      <w:pPr>
        <w:spacing w:after="0" w:line="240" w:lineRule="auto"/>
        <w:jc w:val="both"/>
        <w:rPr>
          <w:rFonts w:eastAsia="Calibri"/>
          <w:i/>
          <w:lang w:eastAsia="en-US"/>
        </w:rPr>
      </w:pPr>
      <w:r w:rsidRPr="007B33C7">
        <w:rPr>
          <w:rFonts w:eastAsia="Calibri"/>
          <w:i/>
          <w:lang w:eastAsia="en-US"/>
        </w:rPr>
        <w:t>Punkty przyznaje się w zależności od daty podjęcia przez Zarząd DLGR uchwały o przyjęciu wnioskodawcy w poczet członków. Warunkiem jest ciągłość członkostwa od danego roku.</w:t>
      </w:r>
    </w:p>
    <w:p w:rsidR="007B33C7" w:rsidRPr="007B33C7" w:rsidRDefault="007B33C7" w:rsidP="007B33C7">
      <w:pPr>
        <w:spacing w:after="0" w:line="240" w:lineRule="auto"/>
        <w:ind w:firstLine="851"/>
        <w:jc w:val="both"/>
        <w:rPr>
          <w:rFonts w:eastAsia="Calibri"/>
          <w:i/>
          <w:lang w:eastAsia="en-US"/>
        </w:rPr>
      </w:pPr>
      <w:r w:rsidRPr="007B33C7">
        <w:rPr>
          <w:rFonts w:eastAsia="Calibri"/>
          <w:i/>
          <w:lang w:eastAsia="en-US"/>
        </w:rPr>
        <w:t xml:space="preserve">Członkostwo w Stowarzyszeniu będzie premiowane dodatkowymi punktami. Celem jest zmobilizowanie mieszkańców i podmiotów obszaru do współpracy na rzecz jego rozwoju, promowanie prospołecznych postaw mieszkańców oraz instytucjonalne i finansowe wzmocnienie DLGR: uzyskanie jak najszerszej reprezentacji społeczności lokalnej oraz pozyskanie środków na współfinansowanie zamierzonych działań. Kryterium to jest możliwe do spełnienia przez każdego wnioskodawcę, gdyż DLGR ma charakter otwarty: wszyscy mieszkańcy i podmioty aktywne na obszarze DLGR mogą zostać członkami Grupy. </w:t>
      </w:r>
    </w:p>
    <w:p w:rsidR="007B33C7" w:rsidRPr="007B33C7" w:rsidRDefault="007B33C7" w:rsidP="007B33C7">
      <w:pPr>
        <w:spacing w:after="0" w:line="240" w:lineRule="auto"/>
        <w:ind w:left="709" w:hanging="709"/>
        <w:jc w:val="both"/>
        <w:rPr>
          <w:rFonts w:eastAsia="Calibri"/>
          <w:i/>
          <w:lang w:eastAsia="en-US"/>
        </w:rPr>
      </w:pPr>
      <w:r w:rsidRPr="007B33C7">
        <w:rPr>
          <w:rFonts w:eastAsia="Calibri"/>
          <w:i/>
          <w:lang w:eastAsia="en-US"/>
        </w:rPr>
        <w:t>•</w:t>
      </w:r>
      <w:r w:rsidRPr="007B33C7">
        <w:rPr>
          <w:rFonts w:eastAsia="Calibri"/>
          <w:i/>
          <w:lang w:eastAsia="en-US"/>
        </w:rPr>
        <w:tab/>
        <w:t>Kryterium jest możliwe do weryfikacji na podstawie dokumentów własnych DLGR – pozwala na przyznanie jednoznacznej liczby punktów.</w:t>
      </w:r>
    </w:p>
    <w:p w:rsidR="007B33C7" w:rsidRPr="007B33C7" w:rsidRDefault="007B33C7" w:rsidP="007B33C7">
      <w:pPr>
        <w:spacing w:after="0" w:line="240" w:lineRule="auto"/>
        <w:ind w:left="720" w:hanging="720"/>
        <w:contextualSpacing/>
        <w:rPr>
          <w:rFonts w:eastAsia="Calibri"/>
          <w:lang w:eastAsia="en-US"/>
        </w:rPr>
      </w:pPr>
    </w:p>
    <w:p w:rsidR="007B33C7" w:rsidRPr="007B33C7" w:rsidRDefault="007B33C7" w:rsidP="007B33C7">
      <w:pPr>
        <w:spacing w:after="0" w:line="240" w:lineRule="auto"/>
        <w:contextualSpacing/>
        <w:rPr>
          <w:rFonts w:eastAsia="Calibri"/>
          <w:b/>
          <w:lang w:eastAsia="en-US"/>
        </w:rPr>
      </w:pPr>
      <w:r w:rsidRPr="007B33C7">
        <w:rPr>
          <w:rFonts w:eastAsia="Calibri"/>
          <w:b/>
          <w:lang w:eastAsia="en-US"/>
        </w:rPr>
        <w:t>7.</w:t>
      </w:r>
      <w:r w:rsidRPr="007B33C7">
        <w:rPr>
          <w:rFonts w:eastAsia="Calibri"/>
          <w:b/>
          <w:lang w:eastAsia="en-US"/>
        </w:rPr>
        <w:tab/>
        <w:t>Trwałość rezultatów operacji</w:t>
      </w:r>
    </w:p>
    <w:p w:rsidR="007B33C7" w:rsidRPr="007B33C7" w:rsidRDefault="007B33C7" w:rsidP="007B33C7">
      <w:pPr>
        <w:spacing w:after="0" w:line="240" w:lineRule="auto"/>
        <w:ind w:left="720"/>
        <w:contextualSpacing/>
        <w:rPr>
          <w:rFonts w:eastAsia="Calibri"/>
          <w:b/>
          <w:lang w:eastAsia="en-US"/>
        </w:rPr>
      </w:pPr>
    </w:p>
    <w:p w:rsidR="007B33C7" w:rsidRPr="007B33C7" w:rsidRDefault="007B33C7" w:rsidP="007B33C7">
      <w:pPr>
        <w:spacing w:after="0" w:line="240" w:lineRule="auto"/>
        <w:ind w:firstLine="709"/>
        <w:rPr>
          <w:rFonts w:eastAsia="Calibri"/>
          <w:i/>
          <w:lang w:eastAsia="en-US"/>
        </w:rPr>
      </w:pPr>
      <w:r w:rsidRPr="007B33C7">
        <w:rPr>
          <w:rFonts w:eastAsia="Calibri"/>
          <w:i/>
          <w:lang w:eastAsia="en-US"/>
        </w:rPr>
        <w:t xml:space="preserve">Punkty przyznaje się w zależności od okresu trwałości operacji. W punkcie tym promowane są operacje mające dłuższy okres oddziaływania na środowisko naturalne. </w:t>
      </w:r>
    </w:p>
    <w:p w:rsidR="007B33C7" w:rsidRPr="007B33C7" w:rsidRDefault="007B33C7" w:rsidP="007B33C7">
      <w:pPr>
        <w:spacing w:after="0" w:line="240" w:lineRule="auto"/>
        <w:ind w:left="720"/>
        <w:contextualSpacing/>
        <w:rPr>
          <w:rFonts w:eastAsia="Calibri"/>
          <w:lang w:eastAsia="en-US"/>
        </w:rPr>
      </w:pPr>
    </w:p>
    <w:p w:rsidR="007B33C7" w:rsidRPr="007B33C7" w:rsidRDefault="007B33C7" w:rsidP="007B33C7">
      <w:pPr>
        <w:spacing w:after="0" w:line="240" w:lineRule="auto"/>
        <w:contextualSpacing/>
        <w:rPr>
          <w:rFonts w:eastAsia="Calibri"/>
          <w:b/>
          <w:lang w:eastAsia="en-US"/>
        </w:rPr>
      </w:pPr>
      <w:r w:rsidRPr="007B33C7">
        <w:rPr>
          <w:rFonts w:eastAsia="Calibri"/>
          <w:b/>
          <w:lang w:eastAsia="en-US"/>
        </w:rPr>
        <w:t>8.</w:t>
      </w:r>
      <w:r w:rsidRPr="007B33C7">
        <w:rPr>
          <w:rFonts w:eastAsia="Calibri"/>
          <w:b/>
          <w:lang w:eastAsia="en-US"/>
        </w:rPr>
        <w:tab/>
        <w:t>Operacja ma charakter innowacyjny</w:t>
      </w:r>
    </w:p>
    <w:p w:rsidR="007B33C7" w:rsidRPr="007B33C7" w:rsidRDefault="007B33C7" w:rsidP="007B33C7">
      <w:pPr>
        <w:spacing w:after="0" w:line="240" w:lineRule="auto"/>
        <w:ind w:left="720"/>
        <w:contextualSpacing/>
        <w:rPr>
          <w:rFonts w:eastAsia="Calibri"/>
          <w:lang w:eastAsia="en-US"/>
        </w:rPr>
      </w:pPr>
    </w:p>
    <w:p w:rsidR="007B33C7" w:rsidRPr="007B33C7" w:rsidRDefault="007B33C7" w:rsidP="007B33C7">
      <w:pPr>
        <w:spacing w:after="0" w:line="240" w:lineRule="auto"/>
        <w:ind w:firstLine="851"/>
        <w:jc w:val="both"/>
        <w:rPr>
          <w:rFonts w:eastAsia="Calibri"/>
          <w:i/>
          <w:lang w:eastAsia="en-US"/>
        </w:rPr>
      </w:pPr>
      <w:r w:rsidRPr="007B33C7">
        <w:rPr>
          <w:rFonts w:eastAsia="Calibri"/>
          <w:i/>
          <w:lang w:eastAsia="en-US"/>
        </w:rPr>
        <w:t xml:space="preserve">Innowacyjność operacji. Innowacyjność może być cechą każdej operacji bez względu na obszar wsparcia. Oceniane będzie nowatorstwo zamierzonego działania (operacji) na obszarze jego oddziaływania w odniesieniu do innowacji organizacyjnej, produktowej, procesowej lub marketingowej. Punktowanie projektów innowacyjnych oznacza docenienie pomysłowości wnioskodawców. Wnioskodawca chcąc liczyć na uzyskanie punktów w tym kryterium będzie musiał wykazać innowacyjność projektu. </w:t>
      </w:r>
    </w:p>
    <w:p w:rsidR="007B33C7" w:rsidRPr="007B33C7" w:rsidRDefault="007B33C7" w:rsidP="007B33C7">
      <w:pPr>
        <w:spacing w:after="0" w:line="240" w:lineRule="auto"/>
        <w:jc w:val="both"/>
        <w:rPr>
          <w:rFonts w:eastAsia="Calibri"/>
          <w:i/>
          <w:lang w:eastAsia="en-US"/>
        </w:rPr>
      </w:pPr>
      <w:r w:rsidRPr="007B33C7">
        <w:rPr>
          <w:rFonts w:eastAsia="Calibri"/>
          <w:i/>
          <w:lang w:eastAsia="en-US"/>
        </w:rPr>
        <w:t>•</w:t>
      </w:r>
      <w:r w:rsidRPr="007B33C7">
        <w:rPr>
          <w:rFonts w:eastAsia="Calibri"/>
          <w:i/>
          <w:lang w:eastAsia="en-US"/>
        </w:rPr>
        <w:tab/>
        <w:t>Kryterium jest typowo jakościowe, możliwe do weryfikacji na podstawie treści wniosku, wiedzy i doświadczenia Członków Komitetu, pozwala na przyznanie dodatkowych punktów;</w:t>
      </w:r>
    </w:p>
    <w:p w:rsidR="007B33C7" w:rsidRPr="007B33C7" w:rsidRDefault="007B33C7" w:rsidP="007B33C7">
      <w:pPr>
        <w:spacing w:after="0" w:line="240" w:lineRule="auto"/>
        <w:jc w:val="both"/>
        <w:rPr>
          <w:rFonts w:eastAsia="Calibri"/>
          <w:i/>
          <w:lang w:eastAsia="en-US"/>
        </w:rPr>
      </w:pPr>
      <w:r w:rsidRPr="007B33C7">
        <w:rPr>
          <w:rFonts w:eastAsia="Calibri"/>
          <w:i/>
          <w:lang w:eastAsia="en-US"/>
        </w:rPr>
        <w:t>•</w:t>
      </w:r>
      <w:r w:rsidRPr="007B33C7">
        <w:rPr>
          <w:rFonts w:eastAsia="Calibri"/>
          <w:i/>
          <w:lang w:eastAsia="en-US"/>
        </w:rPr>
        <w:tab/>
        <w:t>Kryterium przewiduje wybór innowacyjnych operacji.</w:t>
      </w:r>
    </w:p>
    <w:p w:rsidR="007B33C7" w:rsidRPr="007B33C7" w:rsidRDefault="007B33C7" w:rsidP="007B33C7">
      <w:pPr>
        <w:spacing w:after="0" w:line="240" w:lineRule="auto"/>
        <w:jc w:val="both"/>
        <w:rPr>
          <w:rFonts w:eastAsia="Calibri"/>
          <w:i/>
          <w:lang w:eastAsia="en-US"/>
        </w:rPr>
      </w:pPr>
      <w:r w:rsidRPr="007B33C7">
        <w:rPr>
          <w:rFonts w:eastAsia="Calibri"/>
          <w:i/>
          <w:lang w:eastAsia="en-US"/>
        </w:rPr>
        <w:t>Za operacje innowacyjne mogą być uznane poniższe przykładowe przedsięwzięcia:</w:t>
      </w:r>
    </w:p>
    <w:p w:rsidR="007B33C7" w:rsidRPr="007B33C7" w:rsidRDefault="007B33C7" w:rsidP="007B33C7">
      <w:pPr>
        <w:numPr>
          <w:ilvl w:val="0"/>
          <w:numId w:val="7"/>
        </w:numPr>
        <w:spacing w:after="0" w:line="240" w:lineRule="auto"/>
        <w:contextualSpacing/>
        <w:jc w:val="both"/>
        <w:rPr>
          <w:rFonts w:eastAsia="Calibri"/>
          <w:i/>
          <w:lang w:eastAsia="en-US"/>
        </w:rPr>
      </w:pPr>
      <w:r w:rsidRPr="007B33C7">
        <w:rPr>
          <w:rFonts w:eastAsia="Calibri"/>
          <w:i/>
          <w:lang w:eastAsia="en-US"/>
        </w:rPr>
        <w:t>wytworzenie nowej usługi lub produktu w skali obszaru objętego LSROR,</w:t>
      </w:r>
    </w:p>
    <w:p w:rsidR="007B33C7" w:rsidRPr="007B33C7" w:rsidRDefault="007B33C7" w:rsidP="007B33C7">
      <w:pPr>
        <w:numPr>
          <w:ilvl w:val="0"/>
          <w:numId w:val="7"/>
        </w:numPr>
        <w:spacing w:after="0" w:line="240" w:lineRule="auto"/>
        <w:contextualSpacing/>
        <w:jc w:val="both"/>
        <w:rPr>
          <w:rFonts w:eastAsia="Calibri"/>
          <w:i/>
          <w:lang w:eastAsia="en-US"/>
        </w:rPr>
      </w:pPr>
      <w:r w:rsidRPr="007B33C7">
        <w:rPr>
          <w:rFonts w:eastAsia="Calibri"/>
          <w:i/>
          <w:lang w:eastAsia="en-US"/>
        </w:rPr>
        <w:t>nadanie nowych funkcji terenom lub obiektom, które dzięki będą temu służyć rozwojowi, społecznemu bądź gospodarczemu na obszarze objętym LSROR,</w:t>
      </w:r>
    </w:p>
    <w:p w:rsidR="007B33C7" w:rsidRPr="007B33C7" w:rsidRDefault="007B33C7" w:rsidP="007B33C7">
      <w:pPr>
        <w:numPr>
          <w:ilvl w:val="0"/>
          <w:numId w:val="7"/>
        </w:numPr>
        <w:spacing w:after="0" w:line="240" w:lineRule="auto"/>
        <w:contextualSpacing/>
        <w:jc w:val="both"/>
        <w:rPr>
          <w:rFonts w:eastAsia="Calibri"/>
          <w:i/>
          <w:lang w:eastAsia="en-US"/>
        </w:rPr>
      </w:pPr>
      <w:r w:rsidRPr="007B33C7">
        <w:rPr>
          <w:rFonts w:eastAsia="Calibri"/>
          <w:i/>
          <w:lang w:eastAsia="en-US"/>
        </w:rPr>
        <w:t>nowatorskie, wcześniej niestosowane wykorzystanie lokalnych zasobów i surowców na obszarze objętym LSROR,</w:t>
      </w:r>
    </w:p>
    <w:p w:rsidR="007B33C7" w:rsidRPr="007B33C7" w:rsidRDefault="007B33C7" w:rsidP="007B33C7">
      <w:pPr>
        <w:numPr>
          <w:ilvl w:val="0"/>
          <w:numId w:val="7"/>
        </w:numPr>
        <w:spacing w:after="0" w:line="240" w:lineRule="auto"/>
        <w:contextualSpacing/>
        <w:jc w:val="both"/>
        <w:rPr>
          <w:rFonts w:eastAsia="Calibri"/>
          <w:i/>
          <w:lang w:eastAsia="en-US"/>
        </w:rPr>
      </w:pPr>
      <w:r w:rsidRPr="007B33C7">
        <w:rPr>
          <w:rFonts w:eastAsia="Calibri"/>
          <w:i/>
          <w:lang w:eastAsia="en-US"/>
        </w:rPr>
        <w:t>wprowadzenie nowoczesnych w skali obszaru objętego LSROR rozwiązań technicznych i technologicznych,</w:t>
      </w:r>
    </w:p>
    <w:p w:rsidR="007B33C7" w:rsidRPr="007B33C7" w:rsidRDefault="007B33C7" w:rsidP="007B33C7">
      <w:pPr>
        <w:numPr>
          <w:ilvl w:val="0"/>
          <w:numId w:val="7"/>
        </w:numPr>
        <w:spacing w:after="0" w:line="240" w:lineRule="auto"/>
        <w:contextualSpacing/>
        <w:jc w:val="both"/>
        <w:rPr>
          <w:rFonts w:eastAsia="Calibri"/>
          <w:i/>
          <w:lang w:eastAsia="en-US"/>
        </w:rPr>
      </w:pPr>
      <w:r w:rsidRPr="007B33C7">
        <w:rPr>
          <w:rFonts w:eastAsia="Calibri"/>
          <w:i/>
          <w:lang w:eastAsia="en-US"/>
        </w:rPr>
        <w:t>nowy sposób zaangażowania lokalnej społeczności w proces rozwoju lub aktywizacji nowych, grup i środowisk lokalnych, na obszarze objętym LSROR.</w:t>
      </w:r>
    </w:p>
    <w:p w:rsidR="007B33C7" w:rsidRPr="007B33C7" w:rsidRDefault="007B33C7" w:rsidP="007B33C7">
      <w:pPr>
        <w:spacing w:after="0" w:line="240" w:lineRule="auto"/>
        <w:ind w:hanging="720"/>
        <w:jc w:val="both"/>
        <w:rPr>
          <w:rFonts w:eastAsia="Calibri"/>
          <w:lang w:eastAsia="en-US"/>
        </w:rPr>
      </w:pPr>
    </w:p>
    <w:p w:rsidR="007B33C7" w:rsidRPr="007B33C7" w:rsidRDefault="007B33C7" w:rsidP="007B33C7">
      <w:pPr>
        <w:spacing w:after="0" w:line="240" w:lineRule="auto"/>
        <w:contextualSpacing/>
        <w:jc w:val="both"/>
        <w:rPr>
          <w:rFonts w:eastAsia="Calibri"/>
          <w:b/>
          <w:lang w:eastAsia="en-US"/>
        </w:rPr>
      </w:pPr>
      <w:r w:rsidRPr="007B33C7">
        <w:rPr>
          <w:rFonts w:eastAsia="Calibri"/>
          <w:b/>
          <w:lang w:eastAsia="en-US"/>
        </w:rPr>
        <w:t>9.</w:t>
      </w:r>
      <w:r w:rsidRPr="007B33C7">
        <w:rPr>
          <w:rFonts w:eastAsia="Calibri"/>
          <w:b/>
          <w:lang w:eastAsia="en-US"/>
        </w:rPr>
        <w:tab/>
        <w:t>Wnioskodawca posiada udokumentowane doświadczenie w sektorze rybackim</w:t>
      </w:r>
    </w:p>
    <w:p w:rsidR="007B33C7" w:rsidRPr="007B33C7" w:rsidRDefault="007B33C7" w:rsidP="007B33C7">
      <w:pPr>
        <w:spacing w:after="0" w:line="240" w:lineRule="auto"/>
        <w:ind w:left="720"/>
        <w:contextualSpacing/>
        <w:jc w:val="both"/>
        <w:rPr>
          <w:rFonts w:eastAsia="Calibri"/>
          <w:lang w:eastAsia="en-US"/>
        </w:rPr>
      </w:pPr>
    </w:p>
    <w:p w:rsidR="007B33C7" w:rsidRPr="007B33C7" w:rsidRDefault="007B33C7" w:rsidP="007B33C7">
      <w:pPr>
        <w:spacing w:after="0" w:line="240" w:lineRule="auto"/>
        <w:contextualSpacing/>
        <w:jc w:val="both"/>
        <w:rPr>
          <w:rFonts w:eastAsia="Calibri"/>
          <w:i/>
          <w:lang w:eastAsia="en-US"/>
        </w:rPr>
      </w:pPr>
      <w:r w:rsidRPr="007B33C7">
        <w:rPr>
          <w:rFonts w:eastAsia="Calibri"/>
          <w:i/>
          <w:lang w:eastAsia="en-US"/>
        </w:rPr>
        <w:t xml:space="preserve">Kryterium to premiuje wnioskodawców z doświadczeniem w szeroko rozumianym( a więc osoby które w chwili złożenia wniosku są pracownikami sektora rybackiego jak i osoby które w przeszłości pracowały w sektorze rybackim) sektorze rybackim. Obszarze realizacji LSROR przez Stowarzyszenie DLGR, historycznie związany jest sektorem rybackim. Wielu jego  mieszkańców pracuje, albo pracowało (lub pracuje) bezpośrednio w połowach ryb, hodowli ryb, ale również w przetwórstwie ryb, w sprzedaży produktów rybnych. W chwili obecnej omawiany sektor gospodarczy zanika. Osoby związane z sektorem rybackim (lub które były z nim związane) w chwili obecnej często mają kłopoty z zatrudnieniem. Kryterium to ma pomóc w dostępie do środków takim podmiotom. </w:t>
      </w:r>
    </w:p>
    <w:p w:rsidR="007B33C7" w:rsidRPr="007B33C7" w:rsidRDefault="007B33C7" w:rsidP="007B33C7">
      <w:pPr>
        <w:numPr>
          <w:ilvl w:val="0"/>
          <w:numId w:val="6"/>
        </w:numPr>
        <w:spacing w:after="0" w:line="240" w:lineRule="auto"/>
        <w:contextualSpacing/>
        <w:jc w:val="both"/>
        <w:rPr>
          <w:rFonts w:eastAsia="Calibri"/>
          <w:i/>
          <w:lang w:eastAsia="en-US"/>
        </w:rPr>
      </w:pPr>
      <w:r w:rsidRPr="007B33C7">
        <w:rPr>
          <w:rFonts w:eastAsia="Calibri"/>
          <w:i/>
          <w:lang w:eastAsia="en-US"/>
        </w:rPr>
        <w:lastRenderedPageBreak/>
        <w:t>Punkty zostaną przyznane osobą, które najpóźniej do dnia zakończenia naboru przedstawiły dokumenty potwierdzające posiadane przez wnioskodawcę doświadczenie w sektorze rybackim. Nie jest wymagane, aby wnioskodawca na dzień składania wniosku był nadal związany z tym sektorem. Nie załączenie przez Wnioskodawcę odpowiednich dokumentów potwierdzających swoje doświadczenie w sektorze skutkowało będzie nie przyznaniem punktów.</w:t>
      </w:r>
    </w:p>
    <w:p w:rsidR="007B33C7" w:rsidRPr="007B33C7" w:rsidRDefault="007B33C7" w:rsidP="007B33C7">
      <w:pPr>
        <w:spacing w:after="0" w:line="240" w:lineRule="auto"/>
        <w:ind w:hanging="720"/>
        <w:rPr>
          <w:rFonts w:eastAsia="Calibri"/>
          <w:lang w:eastAsia="en-US"/>
        </w:rPr>
      </w:pPr>
    </w:p>
    <w:p w:rsidR="007B33C7" w:rsidRPr="007B33C7" w:rsidRDefault="007B33C7" w:rsidP="007B33C7">
      <w:pPr>
        <w:spacing w:after="0" w:line="240" w:lineRule="auto"/>
        <w:ind w:hanging="720"/>
        <w:rPr>
          <w:rFonts w:eastAsia="Calibri"/>
          <w:lang w:eastAsia="en-US"/>
        </w:rPr>
      </w:pPr>
    </w:p>
    <w:p w:rsidR="007B33C7" w:rsidRPr="007B33C7" w:rsidRDefault="007B33C7" w:rsidP="007B33C7">
      <w:pPr>
        <w:numPr>
          <w:ilvl w:val="0"/>
          <w:numId w:val="5"/>
        </w:numPr>
        <w:spacing w:after="0" w:line="240" w:lineRule="auto"/>
        <w:ind w:hanging="720"/>
        <w:contextualSpacing/>
        <w:jc w:val="both"/>
        <w:rPr>
          <w:rFonts w:eastAsia="Calibri"/>
          <w:b/>
          <w:lang w:eastAsia="en-US"/>
        </w:rPr>
      </w:pPr>
      <w:r w:rsidRPr="007B33C7">
        <w:rPr>
          <w:b/>
          <w:lang w:eastAsia="ar-SA"/>
        </w:rPr>
        <w:t>Czy wnioskodawca złożył wcześniej wniosek, który został pozytywnie zaopiniowany przez Komitet?</w:t>
      </w:r>
    </w:p>
    <w:p w:rsidR="007B33C7" w:rsidRPr="007B33C7" w:rsidRDefault="007B33C7" w:rsidP="007B33C7">
      <w:pPr>
        <w:spacing w:after="0" w:line="240" w:lineRule="auto"/>
        <w:jc w:val="both"/>
        <w:rPr>
          <w:rFonts w:eastAsia="Calibri"/>
          <w:b/>
          <w:lang w:eastAsia="en-US"/>
        </w:rPr>
      </w:pPr>
    </w:p>
    <w:p w:rsidR="007B33C7" w:rsidRPr="007B33C7" w:rsidRDefault="007B33C7" w:rsidP="007B33C7">
      <w:pPr>
        <w:spacing w:after="0" w:line="240" w:lineRule="auto"/>
        <w:contextualSpacing/>
        <w:jc w:val="both"/>
        <w:rPr>
          <w:rFonts w:eastAsia="Calibri"/>
          <w:i/>
          <w:lang w:eastAsia="en-US"/>
        </w:rPr>
      </w:pPr>
      <w:r w:rsidRPr="007B33C7">
        <w:rPr>
          <w:rFonts w:eastAsia="Calibri"/>
          <w:i/>
          <w:lang w:eastAsia="en-US"/>
        </w:rPr>
        <w:t xml:space="preserve">Punkty przyznaje się  w zależności od liczby wniosków o dofinansowanie złożonych przez danego wnioskodawcę wcześniej - w ramach wszystkich konkursów w DLGR - które zostały wybrane do dofinansowania przez Komitet DLGR, lub nie zostały wybrane do dofinansowania przez Komitet, ale procedura zakończyła się podpisaniem umowy o dofinansowanie z Urzędem Marszałkowskim. Nie bierze się pod uwagę wniosków, złożonych przez danego wnioskodawcę, w ramach konkursów, w których nie zakończyła się jeszcze procedura oceny przez Komitet (wraz z rozpatrzeniem </w:t>
      </w:r>
      <w:proofErr w:type="spellStart"/>
      <w:r w:rsidRPr="007B33C7">
        <w:rPr>
          <w:rFonts w:eastAsia="Calibri"/>
          <w:i/>
          <w:lang w:eastAsia="en-US"/>
        </w:rPr>
        <w:t>odwołań</w:t>
      </w:r>
      <w:proofErr w:type="spellEnd"/>
      <w:r w:rsidRPr="007B33C7">
        <w:rPr>
          <w:rFonts w:eastAsia="Calibri"/>
          <w:i/>
          <w:lang w:eastAsia="en-US"/>
        </w:rPr>
        <w:t xml:space="preserve">). </w:t>
      </w:r>
    </w:p>
    <w:p w:rsidR="007B33C7" w:rsidRPr="007B33C7" w:rsidRDefault="007B33C7" w:rsidP="007B33C7">
      <w:pPr>
        <w:numPr>
          <w:ilvl w:val="0"/>
          <w:numId w:val="1"/>
        </w:numPr>
        <w:spacing w:after="0" w:line="240" w:lineRule="auto"/>
        <w:contextualSpacing/>
        <w:jc w:val="both"/>
        <w:rPr>
          <w:rFonts w:eastAsia="Calibri"/>
          <w:i/>
          <w:lang w:eastAsia="en-US"/>
        </w:rPr>
      </w:pPr>
      <w:r w:rsidRPr="007B33C7">
        <w:rPr>
          <w:rFonts w:eastAsia="Calibri"/>
          <w:i/>
          <w:lang w:eastAsia="en-US"/>
        </w:rPr>
        <w:t>Kryterium jest możliwe do weryfikacji na podstawie dokumentów własnych DLGR – pozwala na przyznanie jednoznacznej liczby punktów.</w:t>
      </w:r>
    </w:p>
    <w:p w:rsidR="007B33C7" w:rsidRPr="007B33C7" w:rsidRDefault="007B33C7" w:rsidP="007B33C7">
      <w:pPr>
        <w:spacing w:after="0" w:line="240" w:lineRule="auto"/>
        <w:contextualSpacing/>
        <w:jc w:val="both"/>
        <w:rPr>
          <w:rFonts w:eastAsia="Calibri"/>
          <w:i/>
          <w:lang w:eastAsia="en-US"/>
        </w:rPr>
      </w:pPr>
    </w:p>
    <w:p w:rsidR="007B33C7" w:rsidRPr="007B33C7" w:rsidRDefault="007B33C7" w:rsidP="007B33C7">
      <w:pPr>
        <w:spacing w:after="0" w:line="240" w:lineRule="auto"/>
        <w:ind w:left="720"/>
        <w:contextualSpacing/>
        <w:jc w:val="both"/>
        <w:rPr>
          <w:rFonts w:eastAsia="Calibri"/>
          <w:b/>
          <w:lang w:eastAsia="en-US"/>
        </w:rPr>
      </w:pPr>
    </w:p>
    <w:p w:rsidR="007B33C7" w:rsidRPr="007B33C7" w:rsidRDefault="007B33C7" w:rsidP="007B33C7">
      <w:pPr>
        <w:numPr>
          <w:ilvl w:val="0"/>
          <w:numId w:val="5"/>
        </w:numPr>
        <w:spacing w:after="0" w:line="240" w:lineRule="auto"/>
        <w:ind w:hanging="720"/>
        <w:contextualSpacing/>
        <w:jc w:val="both"/>
        <w:rPr>
          <w:rFonts w:eastAsia="Calibri"/>
          <w:b/>
          <w:lang w:eastAsia="en-US"/>
        </w:rPr>
      </w:pPr>
      <w:r w:rsidRPr="007B33C7">
        <w:rPr>
          <w:rFonts w:eastAsia="Calibri"/>
          <w:b/>
          <w:lang w:eastAsia="en-US"/>
        </w:rPr>
        <w:t>Wysokość wkładu własnego</w:t>
      </w:r>
    </w:p>
    <w:p w:rsidR="007B33C7" w:rsidRPr="007B33C7" w:rsidRDefault="007B33C7" w:rsidP="007B33C7">
      <w:pPr>
        <w:spacing w:after="0" w:line="240" w:lineRule="auto"/>
        <w:ind w:left="720"/>
        <w:contextualSpacing/>
        <w:jc w:val="both"/>
        <w:rPr>
          <w:rFonts w:eastAsia="Calibri"/>
          <w:b/>
          <w:lang w:eastAsia="en-US"/>
        </w:rPr>
      </w:pPr>
    </w:p>
    <w:p w:rsidR="007B33C7" w:rsidRPr="007B33C7" w:rsidRDefault="007B33C7" w:rsidP="007B33C7">
      <w:pPr>
        <w:contextualSpacing/>
        <w:jc w:val="both"/>
        <w:rPr>
          <w:i/>
        </w:rPr>
      </w:pPr>
      <w:r w:rsidRPr="007B33C7">
        <w:rPr>
          <w:i/>
        </w:rPr>
        <w:t>Oceniany będzie poziom wkładu własnego – preferowane będą projekty o większym od minimalnego wkładzie własnym. Wnioskodawca będzie mógł zapewnić sobie większą liczbę punktów zwiększając poziom wkładu własnego. Z zachęty tej skorzystają wnioskodawcy, którzy stwierdzą, że mogą nie uzyskać wystarczającej liczby punktów do uzyskania dofinansowania. Zachęta do ograniczania poziomu dofinansowania przełoży się na większą liczbę ogólną zrealizowanych projektów. Udział procentowy zaokrąglany jest do dwóch miejsc po przecinku.</w:t>
      </w:r>
    </w:p>
    <w:p w:rsidR="007B33C7" w:rsidRPr="007B33C7" w:rsidRDefault="007B33C7" w:rsidP="007B33C7">
      <w:pPr>
        <w:contextualSpacing/>
        <w:jc w:val="both"/>
        <w:rPr>
          <w:i/>
        </w:rPr>
      </w:pPr>
      <w:r w:rsidRPr="007B33C7">
        <w:rPr>
          <w:rFonts w:eastAsia="Calibri"/>
          <w:i/>
          <w:lang w:eastAsia="en-US"/>
        </w:rPr>
        <w:t>•</w:t>
      </w:r>
      <w:r w:rsidRPr="007B33C7">
        <w:rPr>
          <w:rFonts w:eastAsia="Calibri"/>
          <w:i/>
          <w:lang w:eastAsia="en-US"/>
        </w:rPr>
        <w:tab/>
        <w:t>Kryterium jest ilościowe, wpływa na zwiększenie ilości realizowanych operacji, jest mierzalne i możliwe do weryfikacji na podstawie treści wniosku. Punkty przyznaje się na podstawie udziału procentowego wkładu własnego beneficjenta w całkowitych kosztach kwalifikowanych operacji.</w:t>
      </w:r>
    </w:p>
    <w:p w:rsidR="007B33C7" w:rsidRPr="007B33C7" w:rsidRDefault="007B33C7" w:rsidP="007B33C7">
      <w:pPr>
        <w:rPr>
          <w:rFonts w:asciiTheme="minorHAnsi" w:eastAsiaTheme="minorHAnsi" w:hAnsiTheme="minorHAnsi" w:cstheme="minorBidi"/>
          <w:lang w:eastAsia="en-US"/>
        </w:rPr>
      </w:pPr>
    </w:p>
    <w:p w:rsidR="00821D5A" w:rsidRPr="007B33C7" w:rsidRDefault="00821D5A" w:rsidP="007B33C7"/>
    <w:sectPr w:rsidR="00821D5A" w:rsidRPr="007B33C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59E" w:rsidRDefault="001C159E" w:rsidP="005316EB">
      <w:pPr>
        <w:spacing w:after="0" w:line="240" w:lineRule="auto"/>
      </w:pPr>
      <w:r>
        <w:separator/>
      </w:r>
    </w:p>
  </w:endnote>
  <w:endnote w:type="continuationSeparator" w:id="0">
    <w:p w:rsidR="001C159E" w:rsidRDefault="001C159E" w:rsidP="00531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59E" w:rsidRDefault="001C159E" w:rsidP="005316EB">
      <w:pPr>
        <w:spacing w:after="0" w:line="240" w:lineRule="auto"/>
      </w:pPr>
      <w:r>
        <w:separator/>
      </w:r>
    </w:p>
  </w:footnote>
  <w:footnote w:type="continuationSeparator" w:id="0">
    <w:p w:rsidR="001C159E" w:rsidRDefault="001C159E" w:rsidP="005316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6EB" w:rsidRDefault="005316EB" w:rsidP="005316EB">
    <w:pPr>
      <w:pStyle w:val="Nagwek"/>
      <w:jc w:val="center"/>
    </w:pPr>
    <w:r>
      <w:t>Kryteria wyboru operacji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B6701"/>
    <w:multiLevelType w:val="hybridMultilevel"/>
    <w:tmpl w:val="BB58CE56"/>
    <w:lvl w:ilvl="0" w:tplc="4D422E00">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1BD3F4A"/>
    <w:multiLevelType w:val="hybridMultilevel"/>
    <w:tmpl w:val="78E214E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37D102D4"/>
    <w:multiLevelType w:val="multilevel"/>
    <w:tmpl w:val="7DBC28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10F600C"/>
    <w:multiLevelType w:val="hybridMultilevel"/>
    <w:tmpl w:val="B3D8F6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D624BEF"/>
    <w:multiLevelType w:val="hybridMultilevel"/>
    <w:tmpl w:val="3C98E494"/>
    <w:lvl w:ilvl="0" w:tplc="58A0492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1261F45"/>
    <w:multiLevelType w:val="hybridMultilevel"/>
    <w:tmpl w:val="9578924A"/>
    <w:lvl w:ilvl="0" w:tplc="00000010">
      <w:start w:val="4"/>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A96"/>
    <w:rsid w:val="001C159E"/>
    <w:rsid w:val="00232828"/>
    <w:rsid w:val="004C3C69"/>
    <w:rsid w:val="005316EB"/>
    <w:rsid w:val="005D004A"/>
    <w:rsid w:val="007B33C7"/>
    <w:rsid w:val="00821D5A"/>
    <w:rsid w:val="008322E7"/>
    <w:rsid w:val="00885272"/>
    <w:rsid w:val="00C67A96"/>
    <w:rsid w:val="00D130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16EB"/>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316E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16EB"/>
    <w:rPr>
      <w:rFonts w:ascii="Tahoma" w:eastAsia="Times New Roman" w:hAnsi="Tahoma" w:cs="Tahoma"/>
      <w:sz w:val="16"/>
      <w:szCs w:val="16"/>
      <w:lang w:eastAsia="pl-PL"/>
    </w:rPr>
  </w:style>
  <w:style w:type="paragraph" w:styleId="Nagwek">
    <w:name w:val="header"/>
    <w:basedOn w:val="Normalny"/>
    <w:link w:val="NagwekZnak"/>
    <w:uiPriority w:val="99"/>
    <w:unhideWhenUsed/>
    <w:rsid w:val="005316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16EB"/>
    <w:rPr>
      <w:rFonts w:ascii="Calibri" w:eastAsia="Times New Roman" w:hAnsi="Calibri" w:cs="Times New Roman"/>
      <w:lang w:eastAsia="pl-PL"/>
    </w:rPr>
  </w:style>
  <w:style w:type="paragraph" w:styleId="Stopka">
    <w:name w:val="footer"/>
    <w:basedOn w:val="Normalny"/>
    <w:link w:val="StopkaZnak"/>
    <w:uiPriority w:val="99"/>
    <w:unhideWhenUsed/>
    <w:rsid w:val="005316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16EB"/>
    <w:rPr>
      <w:rFonts w:ascii="Calibri" w:eastAsia="Times New Roman" w:hAnsi="Calibri" w:cs="Times New Roman"/>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16EB"/>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316E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16EB"/>
    <w:rPr>
      <w:rFonts w:ascii="Tahoma" w:eastAsia="Times New Roman" w:hAnsi="Tahoma" w:cs="Tahoma"/>
      <w:sz w:val="16"/>
      <w:szCs w:val="16"/>
      <w:lang w:eastAsia="pl-PL"/>
    </w:rPr>
  </w:style>
  <w:style w:type="paragraph" w:styleId="Nagwek">
    <w:name w:val="header"/>
    <w:basedOn w:val="Normalny"/>
    <w:link w:val="NagwekZnak"/>
    <w:uiPriority w:val="99"/>
    <w:unhideWhenUsed/>
    <w:rsid w:val="005316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16EB"/>
    <w:rPr>
      <w:rFonts w:ascii="Calibri" w:eastAsia="Times New Roman" w:hAnsi="Calibri" w:cs="Times New Roman"/>
      <w:lang w:eastAsia="pl-PL"/>
    </w:rPr>
  </w:style>
  <w:style w:type="paragraph" w:styleId="Stopka">
    <w:name w:val="footer"/>
    <w:basedOn w:val="Normalny"/>
    <w:link w:val="StopkaZnak"/>
    <w:uiPriority w:val="99"/>
    <w:unhideWhenUsed/>
    <w:rsid w:val="005316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16EB"/>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1449</Words>
  <Characters>8697</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Nowy</dc:creator>
  <cp:keywords/>
  <dc:description/>
  <cp:lastModifiedBy>Nowy</cp:lastModifiedBy>
  <cp:revision>6</cp:revision>
  <dcterms:created xsi:type="dcterms:W3CDTF">2013-02-25T09:26:00Z</dcterms:created>
  <dcterms:modified xsi:type="dcterms:W3CDTF">2013-05-30T19:28:00Z</dcterms:modified>
</cp:coreProperties>
</file>